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24A" w:rsidRDefault="004B624A" w:rsidP="004B624A">
      <w:pPr>
        <w:spacing w:after="0" w:line="240" w:lineRule="auto"/>
        <w:jc w:val="center"/>
        <w:rPr>
          <w:rFonts w:ascii="Times New Roman" w:hAnsi="Times New Roman" w:cs="Times New Roman"/>
          <w:b/>
          <w:sz w:val="24"/>
          <w:szCs w:val="24"/>
        </w:rPr>
      </w:pPr>
      <w:r w:rsidRPr="00F80EC0">
        <w:rPr>
          <w:rFonts w:ascii="Times New Roman" w:hAnsi="Times New Roman" w:cs="Times New Roman"/>
          <w:b/>
          <w:sz w:val="24"/>
          <w:szCs w:val="24"/>
        </w:rPr>
        <w:t>Тема 13. Валютные отношения и платежный баланс</w:t>
      </w:r>
    </w:p>
    <w:p w:rsidR="004B624A" w:rsidRPr="00F80EC0" w:rsidRDefault="004B624A" w:rsidP="004B624A">
      <w:pPr>
        <w:spacing w:after="0" w:line="240" w:lineRule="auto"/>
        <w:jc w:val="center"/>
        <w:rPr>
          <w:rFonts w:ascii="Times New Roman" w:hAnsi="Times New Roman" w:cs="Times New Roman"/>
          <w:b/>
          <w:sz w:val="24"/>
          <w:szCs w:val="24"/>
        </w:rPr>
      </w:pPr>
    </w:p>
    <w:p w:rsidR="004B624A" w:rsidRPr="00F80EC0" w:rsidRDefault="004B624A" w:rsidP="004B624A">
      <w:pPr>
        <w:pStyle w:val="a3"/>
        <w:numPr>
          <w:ilvl w:val="0"/>
          <w:numId w:val="1"/>
        </w:numPr>
        <w:spacing w:after="0" w:line="240" w:lineRule="auto"/>
        <w:jc w:val="both"/>
        <w:rPr>
          <w:rFonts w:ascii="Times New Roman" w:hAnsi="Times New Roman" w:cs="Times New Roman"/>
          <w:b/>
          <w:sz w:val="24"/>
          <w:szCs w:val="24"/>
        </w:rPr>
      </w:pPr>
      <w:r w:rsidRPr="00F80EC0">
        <w:rPr>
          <w:rFonts w:ascii="Times New Roman" w:hAnsi="Times New Roman" w:cs="Times New Roman"/>
          <w:b/>
          <w:sz w:val="24"/>
          <w:szCs w:val="24"/>
        </w:rPr>
        <w:t>Сущность валютных отношений и валютной политики</w:t>
      </w:r>
    </w:p>
    <w:p w:rsidR="004B624A" w:rsidRPr="00F80EC0" w:rsidRDefault="004B624A" w:rsidP="004B624A">
      <w:pPr>
        <w:pStyle w:val="a3"/>
        <w:numPr>
          <w:ilvl w:val="0"/>
          <w:numId w:val="1"/>
        </w:numPr>
        <w:spacing w:after="0" w:line="240" w:lineRule="auto"/>
        <w:jc w:val="both"/>
        <w:rPr>
          <w:rFonts w:ascii="Times New Roman" w:hAnsi="Times New Roman" w:cs="Times New Roman"/>
          <w:b/>
          <w:sz w:val="24"/>
          <w:szCs w:val="24"/>
        </w:rPr>
      </w:pPr>
      <w:r w:rsidRPr="00F80EC0">
        <w:rPr>
          <w:rFonts w:ascii="Times New Roman" w:hAnsi="Times New Roman" w:cs="Times New Roman"/>
          <w:b/>
          <w:sz w:val="24"/>
          <w:szCs w:val="24"/>
        </w:rPr>
        <w:t>Международные расчеты</w:t>
      </w:r>
      <w:r>
        <w:rPr>
          <w:rFonts w:ascii="Times New Roman" w:hAnsi="Times New Roman" w:cs="Times New Roman"/>
          <w:b/>
          <w:sz w:val="24"/>
          <w:szCs w:val="24"/>
        </w:rPr>
        <w:t xml:space="preserve"> и их основные формы</w:t>
      </w:r>
    </w:p>
    <w:p w:rsidR="004B624A" w:rsidRPr="00F80EC0" w:rsidRDefault="004B624A" w:rsidP="004B624A">
      <w:pPr>
        <w:pStyle w:val="a3"/>
        <w:numPr>
          <w:ilvl w:val="0"/>
          <w:numId w:val="1"/>
        </w:numPr>
        <w:spacing w:after="0" w:line="240" w:lineRule="auto"/>
        <w:jc w:val="both"/>
        <w:rPr>
          <w:rFonts w:ascii="Times New Roman" w:hAnsi="Times New Roman" w:cs="Times New Roman"/>
          <w:b/>
          <w:sz w:val="24"/>
          <w:szCs w:val="24"/>
        </w:rPr>
      </w:pPr>
      <w:r w:rsidRPr="00F80EC0">
        <w:rPr>
          <w:rFonts w:ascii="Times New Roman" w:hAnsi="Times New Roman" w:cs="Times New Roman"/>
          <w:b/>
          <w:sz w:val="24"/>
          <w:szCs w:val="24"/>
        </w:rPr>
        <w:t>Платежный баланс и его структура</w:t>
      </w:r>
    </w:p>
    <w:p w:rsidR="004B624A" w:rsidRPr="00F80EC0" w:rsidRDefault="004B624A" w:rsidP="004B624A">
      <w:pPr>
        <w:pStyle w:val="a3"/>
        <w:numPr>
          <w:ilvl w:val="0"/>
          <w:numId w:val="1"/>
        </w:numPr>
        <w:spacing w:after="0" w:line="240" w:lineRule="auto"/>
        <w:jc w:val="both"/>
        <w:rPr>
          <w:rFonts w:ascii="Times New Roman" w:hAnsi="Times New Roman" w:cs="Times New Roman"/>
          <w:b/>
          <w:sz w:val="24"/>
          <w:szCs w:val="24"/>
        </w:rPr>
      </w:pPr>
      <w:r w:rsidRPr="00F80EC0">
        <w:rPr>
          <w:rFonts w:ascii="Times New Roman" w:hAnsi="Times New Roman" w:cs="Times New Roman"/>
          <w:b/>
          <w:sz w:val="24"/>
          <w:szCs w:val="24"/>
        </w:rPr>
        <w:t>Балансирование статей платежного баланса</w:t>
      </w:r>
    </w:p>
    <w:p w:rsidR="004B624A" w:rsidRDefault="004B624A" w:rsidP="004B624A">
      <w:pPr>
        <w:pStyle w:val="a3"/>
        <w:numPr>
          <w:ilvl w:val="0"/>
          <w:numId w:val="1"/>
        </w:numPr>
        <w:spacing w:after="0" w:line="240" w:lineRule="auto"/>
        <w:jc w:val="both"/>
        <w:rPr>
          <w:rFonts w:ascii="Times New Roman" w:hAnsi="Times New Roman" w:cs="Times New Roman"/>
          <w:b/>
          <w:sz w:val="24"/>
          <w:szCs w:val="24"/>
        </w:rPr>
      </w:pPr>
      <w:r w:rsidRPr="00F80EC0">
        <w:rPr>
          <w:rFonts w:ascii="Times New Roman" w:hAnsi="Times New Roman" w:cs="Times New Roman"/>
          <w:b/>
          <w:sz w:val="24"/>
          <w:szCs w:val="24"/>
        </w:rPr>
        <w:t>Конвертируемость национальной валюты</w:t>
      </w:r>
      <w:r>
        <w:rPr>
          <w:rFonts w:ascii="Times New Roman" w:hAnsi="Times New Roman" w:cs="Times New Roman"/>
          <w:b/>
          <w:sz w:val="24"/>
          <w:szCs w:val="24"/>
        </w:rPr>
        <w:t xml:space="preserve"> Украины</w:t>
      </w:r>
    </w:p>
    <w:p w:rsidR="004B624A" w:rsidRDefault="004B624A" w:rsidP="004B624A">
      <w:pPr>
        <w:spacing w:after="0" w:line="240" w:lineRule="auto"/>
        <w:jc w:val="both"/>
        <w:rPr>
          <w:rFonts w:ascii="Times New Roman" w:hAnsi="Times New Roman" w:cs="Times New Roman"/>
          <w:b/>
          <w:sz w:val="24"/>
          <w:szCs w:val="24"/>
        </w:rPr>
      </w:pPr>
    </w:p>
    <w:p w:rsidR="004B624A" w:rsidRPr="00F80EC0" w:rsidRDefault="004B624A" w:rsidP="004B624A">
      <w:pPr>
        <w:pStyle w:val="a3"/>
        <w:numPr>
          <w:ilvl w:val="0"/>
          <w:numId w:val="2"/>
        </w:numPr>
        <w:spacing w:after="0" w:line="240" w:lineRule="auto"/>
        <w:jc w:val="center"/>
        <w:rPr>
          <w:rFonts w:ascii="Times New Roman" w:hAnsi="Times New Roman" w:cs="Times New Roman"/>
          <w:b/>
          <w:sz w:val="24"/>
          <w:szCs w:val="24"/>
        </w:rPr>
      </w:pPr>
      <w:r w:rsidRPr="00F80EC0">
        <w:rPr>
          <w:rFonts w:ascii="Times New Roman" w:hAnsi="Times New Roman" w:cs="Times New Roman"/>
          <w:b/>
          <w:sz w:val="24"/>
          <w:szCs w:val="24"/>
        </w:rPr>
        <w:t>Сущность валютных отношений и валютной политики</w:t>
      </w:r>
    </w:p>
    <w:p w:rsidR="004B624A" w:rsidRPr="00B96633" w:rsidRDefault="004B624A" w:rsidP="004B624A">
      <w:pPr>
        <w:spacing w:after="0" w:line="240" w:lineRule="auto"/>
        <w:ind w:firstLine="709"/>
        <w:jc w:val="both"/>
        <w:rPr>
          <w:rFonts w:ascii="Times New Roman" w:hAnsi="Times New Roman" w:cs="Times New Roman"/>
          <w:sz w:val="24"/>
          <w:szCs w:val="24"/>
        </w:rPr>
      </w:pPr>
      <w:r w:rsidRPr="00B96633">
        <w:rPr>
          <w:rFonts w:ascii="Times New Roman" w:eastAsia="Calibri" w:hAnsi="Times New Roman" w:cs="Times New Roman"/>
          <w:sz w:val="24"/>
          <w:szCs w:val="24"/>
        </w:rPr>
        <w:t xml:space="preserve">Каждая страна имеет свою денежную единицу (валюту). При международных расчетах по товарам, кредитам, ПЗИ и т.д. появляется необходимость обмена денег одной страны на денежные единицы другой страны. На этой почве возникают </w:t>
      </w:r>
      <w:r w:rsidRPr="00B96633">
        <w:rPr>
          <w:rFonts w:ascii="Times New Roman" w:eastAsia="Calibri" w:hAnsi="Times New Roman" w:cs="Times New Roman"/>
          <w:b/>
          <w:sz w:val="24"/>
          <w:szCs w:val="24"/>
        </w:rPr>
        <w:t>валютные отношения</w:t>
      </w:r>
      <w:r w:rsidRPr="00B96633">
        <w:rPr>
          <w:rFonts w:ascii="Times New Roman" w:eastAsia="Calibri" w:hAnsi="Times New Roman" w:cs="Times New Roman"/>
          <w:sz w:val="24"/>
          <w:szCs w:val="24"/>
        </w:rPr>
        <w:t xml:space="preserve"> как совокупность денежных отношений, опосредующих платежно-расчетные операции между субъектами мирового хозяйства. </w:t>
      </w:r>
    </w:p>
    <w:p w:rsidR="004B624A" w:rsidRDefault="004B624A" w:rsidP="004B624A">
      <w:pPr>
        <w:spacing w:after="0" w:line="240" w:lineRule="auto"/>
        <w:ind w:firstLine="709"/>
        <w:jc w:val="both"/>
        <w:rPr>
          <w:rFonts w:ascii="Times New Roman" w:hAnsi="Times New Roman" w:cs="Times New Roman"/>
          <w:sz w:val="24"/>
          <w:szCs w:val="24"/>
          <w:shd w:val="clear" w:color="auto" w:fill="FFFFFF"/>
        </w:rPr>
      </w:pPr>
      <w:r w:rsidRPr="00B96633">
        <w:rPr>
          <w:rStyle w:val="longtext"/>
          <w:rFonts w:ascii="Times New Roman" w:hAnsi="Times New Roman" w:cs="Times New Roman"/>
          <w:sz w:val="24"/>
          <w:szCs w:val="24"/>
          <w:shd w:val="clear" w:color="auto" w:fill="FFFFFF"/>
        </w:rPr>
        <w:t xml:space="preserve">Важным инструментом расширения мирохозяйственных связей является </w:t>
      </w:r>
      <w:r w:rsidRPr="00B96633">
        <w:rPr>
          <w:rStyle w:val="longtext"/>
          <w:rFonts w:ascii="Times New Roman" w:hAnsi="Times New Roman" w:cs="Times New Roman"/>
          <w:b/>
          <w:sz w:val="24"/>
          <w:szCs w:val="24"/>
          <w:shd w:val="clear" w:color="auto" w:fill="FFFFFF"/>
        </w:rPr>
        <w:t>валютная политика</w:t>
      </w:r>
      <w:r w:rsidRPr="00B96633">
        <w:rPr>
          <w:rStyle w:val="longtext"/>
          <w:rFonts w:ascii="Times New Roman" w:hAnsi="Times New Roman" w:cs="Times New Roman"/>
          <w:sz w:val="24"/>
          <w:szCs w:val="24"/>
          <w:shd w:val="clear" w:color="auto" w:fill="FFFFFF"/>
        </w:rPr>
        <w:t xml:space="preserve">, то есть совокупность экономических, правовых и организационных мер и форм, использующих государственные, центральные банковские и финансовые учреждения, международные валютно-кредитные организации в сфере валютных отношений. </w:t>
      </w:r>
    </w:p>
    <w:p w:rsidR="004B624A" w:rsidRDefault="004B624A" w:rsidP="004B624A">
      <w:pPr>
        <w:spacing w:after="0" w:line="240" w:lineRule="auto"/>
        <w:ind w:firstLine="709"/>
        <w:jc w:val="both"/>
        <w:rPr>
          <w:rFonts w:ascii="Times New Roman" w:hAnsi="Times New Roman" w:cs="Times New Roman"/>
          <w:sz w:val="24"/>
          <w:szCs w:val="24"/>
          <w:shd w:val="clear" w:color="auto" w:fill="FFFFFF"/>
        </w:rPr>
      </w:pPr>
      <w:r w:rsidRPr="00B96633">
        <w:rPr>
          <w:rStyle w:val="longtext"/>
          <w:rFonts w:ascii="Times New Roman" w:hAnsi="Times New Roman" w:cs="Times New Roman"/>
          <w:sz w:val="24"/>
          <w:szCs w:val="24"/>
          <w:shd w:val="clear" w:color="auto" w:fill="FFFFFF"/>
        </w:rPr>
        <w:t xml:space="preserve">Валютная политика с юридической точки зрения определяется валютным законодательством, которое включает совокупность правовых норм по регулированию порядка осуществления операций с валютными ценностями в стране и за ее пределами, а также валютными соглашениями между государствами по валютным проблемам (двусторонними и многосторонними). </w:t>
      </w:r>
    </w:p>
    <w:p w:rsidR="004B624A" w:rsidRDefault="004B624A" w:rsidP="004B624A">
      <w:pPr>
        <w:spacing w:after="0" w:line="240" w:lineRule="auto"/>
        <w:ind w:firstLine="709"/>
        <w:jc w:val="both"/>
        <w:rPr>
          <w:rStyle w:val="longtext"/>
          <w:rFonts w:ascii="Times New Roman" w:hAnsi="Times New Roman" w:cs="Times New Roman"/>
          <w:sz w:val="24"/>
          <w:szCs w:val="24"/>
          <w:shd w:val="clear" w:color="auto" w:fill="FFFFFF"/>
        </w:rPr>
      </w:pPr>
      <w:r w:rsidRPr="00B96633">
        <w:rPr>
          <w:rStyle w:val="longtext"/>
          <w:rFonts w:ascii="Times New Roman" w:hAnsi="Times New Roman" w:cs="Times New Roman"/>
          <w:sz w:val="24"/>
          <w:szCs w:val="24"/>
          <w:shd w:val="clear" w:color="auto" w:fill="FFFFFF"/>
        </w:rPr>
        <w:t xml:space="preserve">Основным элементом валютной политики является </w:t>
      </w:r>
      <w:r w:rsidRPr="00B96633">
        <w:rPr>
          <w:rStyle w:val="longtext"/>
          <w:rFonts w:ascii="Times New Roman" w:hAnsi="Times New Roman" w:cs="Times New Roman"/>
          <w:b/>
          <w:sz w:val="24"/>
          <w:szCs w:val="24"/>
          <w:shd w:val="clear" w:color="auto" w:fill="FFFFFF"/>
        </w:rPr>
        <w:t>валютное регулирование</w:t>
      </w:r>
      <w:r w:rsidRPr="00B96633">
        <w:rPr>
          <w:rStyle w:val="longtext"/>
          <w:rFonts w:ascii="Times New Roman" w:hAnsi="Times New Roman" w:cs="Times New Roman"/>
          <w:sz w:val="24"/>
          <w:szCs w:val="24"/>
          <w:shd w:val="clear" w:color="auto" w:fill="FFFFFF"/>
        </w:rPr>
        <w:t>. Система валютного регулирования - это регламентация режима осуществления валютных операций, международных расчетов, определение общих принципов валютного регулирования, полномочий государственных органов и функций банков и других кредитно-финансовых учреждений в регулировании валютных операций, права и обязанности субъектов валютных отношений, порядок осуществления валютного контроля, ответственность за нарушение валютного законодательства.</w:t>
      </w:r>
    </w:p>
    <w:p w:rsidR="004B624A" w:rsidRDefault="004B624A" w:rsidP="004B624A">
      <w:pPr>
        <w:spacing w:after="0" w:line="240" w:lineRule="auto"/>
        <w:ind w:firstLine="709"/>
        <w:jc w:val="both"/>
        <w:rPr>
          <w:rFonts w:ascii="Times New Roman" w:hAnsi="Times New Roman" w:cs="Times New Roman"/>
          <w:sz w:val="24"/>
          <w:szCs w:val="24"/>
          <w:shd w:val="clear" w:color="auto" w:fill="FFFFFF"/>
        </w:rPr>
      </w:pPr>
      <w:r w:rsidRPr="00B96633">
        <w:rPr>
          <w:rStyle w:val="longtext"/>
          <w:rFonts w:ascii="Times New Roman" w:hAnsi="Times New Roman" w:cs="Times New Roman"/>
          <w:sz w:val="24"/>
          <w:szCs w:val="24"/>
          <w:shd w:val="clear" w:color="auto" w:fill="FFFFFF"/>
        </w:rPr>
        <w:t xml:space="preserve">Валютная политика в зависимости от ее целей и форм подразделяется на </w:t>
      </w:r>
      <w:proofErr w:type="gramStart"/>
      <w:r w:rsidRPr="00B96633">
        <w:rPr>
          <w:rStyle w:val="longtext"/>
          <w:rFonts w:ascii="Times New Roman" w:hAnsi="Times New Roman" w:cs="Times New Roman"/>
          <w:sz w:val="24"/>
          <w:szCs w:val="24"/>
          <w:shd w:val="clear" w:color="auto" w:fill="FFFFFF"/>
        </w:rPr>
        <w:t>текущу</w:t>
      </w:r>
      <w:r>
        <w:rPr>
          <w:rStyle w:val="longtext"/>
          <w:rFonts w:ascii="Times New Roman" w:hAnsi="Times New Roman" w:cs="Times New Roman"/>
          <w:sz w:val="24"/>
          <w:szCs w:val="24"/>
          <w:shd w:val="clear" w:color="auto" w:fill="FFFFFF"/>
        </w:rPr>
        <w:t>ю</w:t>
      </w:r>
      <w:proofErr w:type="gramEnd"/>
      <w:r>
        <w:rPr>
          <w:rStyle w:val="longtext"/>
          <w:rFonts w:ascii="Times New Roman" w:hAnsi="Times New Roman" w:cs="Times New Roman"/>
          <w:sz w:val="24"/>
          <w:szCs w:val="24"/>
          <w:shd w:val="clear" w:color="auto" w:fill="FFFFFF"/>
        </w:rPr>
        <w:t xml:space="preserve"> и долгосрочную</w:t>
      </w:r>
      <w:r w:rsidRPr="00B96633">
        <w:rPr>
          <w:rStyle w:val="longtext"/>
          <w:rFonts w:ascii="Times New Roman" w:hAnsi="Times New Roman" w:cs="Times New Roman"/>
          <w:sz w:val="24"/>
          <w:szCs w:val="24"/>
          <w:shd w:val="clear" w:color="auto" w:fill="FFFFFF"/>
        </w:rPr>
        <w:t xml:space="preserve">. </w:t>
      </w:r>
    </w:p>
    <w:p w:rsidR="004B624A" w:rsidRDefault="004B624A" w:rsidP="004B624A">
      <w:pPr>
        <w:spacing w:after="0" w:line="240" w:lineRule="auto"/>
        <w:ind w:firstLine="709"/>
        <w:jc w:val="both"/>
        <w:rPr>
          <w:rFonts w:ascii="Times New Roman" w:hAnsi="Times New Roman" w:cs="Times New Roman"/>
          <w:sz w:val="24"/>
          <w:szCs w:val="24"/>
          <w:shd w:val="clear" w:color="auto" w:fill="FFFFFF"/>
        </w:rPr>
      </w:pPr>
      <w:r w:rsidRPr="00B96633">
        <w:rPr>
          <w:rStyle w:val="longtext"/>
          <w:rFonts w:ascii="Times New Roman" w:hAnsi="Times New Roman" w:cs="Times New Roman"/>
          <w:b/>
          <w:sz w:val="24"/>
          <w:szCs w:val="24"/>
          <w:shd w:val="clear" w:color="auto" w:fill="FFFFFF"/>
        </w:rPr>
        <w:t>Текущая валютная политика</w:t>
      </w:r>
      <w:r w:rsidRPr="00B96633">
        <w:rPr>
          <w:rStyle w:val="longtext"/>
          <w:rFonts w:ascii="Times New Roman" w:hAnsi="Times New Roman" w:cs="Times New Roman"/>
          <w:sz w:val="24"/>
          <w:szCs w:val="24"/>
          <w:shd w:val="clear" w:color="auto" w:fill="FFFFFF"/>
        </w:rPr>
        <w:t xml:space="preserve"> - совокупность мероприятий, направленных на ежедневное, оперативное регулирование валютного курса, валютных операций, деятельности валютного рынка, в том числе</w:t>
      </w:r>
      <w:r>
        <w:rPr>
          <w:rStyle w:val="longtext"/>
          <w:rFonts w:ascii="Times New Roman" w:hAnsi="Times New Roman" w:cs="Times New Roman"/>
          <w:sz w:val="24"/>
          <w:szCs w:val="24"/>
          <w:shd w:val="clear" w:color="auto" w:fill="FFFFFF"/>
        </w:rPr>
        <w:t xml:space="preserve"> с помощью дисконтной и девизной</w:t>
      </w:r>
      <w:r w:rsidRPr="00B96633">
        <w:rPr>
          <w:rStyle w:val="longtext"/>
          <w:rFonts w:ascii="Times New Roman" w:hAnsi="Times New Roman" w:cs="Times New Roman"/>
          <w:sz w:val="24"/>
          <w:szCs w:val="24"/>
          <w:shd w:val="clear" w:color="auto" w:fill="FFFFFF"/>
        </w:rPr>
        <w:t xml:space="preserve"> политики, в частности валютной интервенции, валютных ограничений, валютного субсидирования и диверсификации валютных резервов. Целью текущей валютной политики является обеспечение нормального функционирования международных и национальных механизмов мировой валютной системы, поддержание равновесия платежных балансов. </w:t>
      </w:r>
      <w:r w:rsidRPr="00B96633">
        <w:rPr>
          <w:rFonts w:ascii="Times New Roman" w:hAnsi="Times New Roman" w:cs="Times New Roman"/>
          <w:sz w:val="24"/>
          <w:szCs w:val="24"/>
          <w:shd w:val="clear" w:color="auto" w:fill="FFFFFF"/>
        </w:rPr>
        <w:br/>
      </w:r>
      <w:r w:rsidRPr="00707AF9">
        <w:rPr>
          <w:rStyle w:val="longtext"/>
          <w:rFonts w:ascii="Times New Roman" w:hAnsi="Times New Roman" w:cs="Times New Roman"/>
          <w:b/>
          <w:sz w:val="24"/>
          <w:szCs w:val="24"/>
          <w:shd w:val="clear" w:color="auto" w:fill="EBEFF9"/>
        </w:rPr>
        <w:t>Валютная дисконтная (учетная) политика</w:t>
      </w:r>
      <w:r w:rsidRPr="00B96633">
        <w:rPr>
          <w:rStyle w:val="longtext"/>
          <w:rFonts w:ascii="Times New Roman" w:hAnsi="Times New Roman" w:cs="Times New Roman"/>
          <w:sz w:val="24"/>
          <w:szCs w:val="24"/>
          <w:shd w:val="clear" w:color="auto" w:fill="EBEFF9"/>
        </w:rPr>
        <w:t xml:space="preserve"> представляет собой систему экономических, правовых и организационных мероприятий по использованию учетной ставки процента для регулирования движения инвестиций и бала</w:t>
      </w:r>
      <w:r w:rsidR="00606B6E">
        <w:rPr>
          <w:rStyle w:val="longtext"/>
          <w:rFonts w:ascii="Times New Roman" w:hAnsi="Times New Roman" w:cs="Times New Roman"/>
          <w:sz w:val="24"/>
          <w:szCs w:val="24"/>
          <w:shd w:val="clear" w:color="auto" w:fill="EBEFF9"/>
        </w:rPr>
        <w:t>нсировки платежных обязательств</w:t>
      </w:r>
      <w:r w:rsidRPr="00B96633">
        <w:rPr>
          <w:rStyle w:val="longtext"/>
          <w:rFonts w:ascii="Times New Roman" w:hAnsi="Times New Roman" w:cs="Times New Roman"/>
          <w:sz w:val="24"/>
          <w:szCs w:val="24"/>
          <w:shd w:val="clear" w:color="auto" w:fill="EBEFF9"/>
        </w:rPr>
        <w:t xml:space="preserve">. </w:t>
      </w:r>
      <w:r w:rsidRPr="00707AF9">
        <w:rPr>
          <w:rStyle w:val="longtext"/>
          <w:rFonts w:ascii="Times New Roman" w:hAnsi="Times New Roman" w:cs="Times New Roman"/>
          <w:b/>
          <w:sz w:val="24"/>
          <w:szCs w:val="24"/>
          <w:shd w:val="clear" w:color="auto" w:fill="FFFFFF"/>
        </w:rPr>
        <w:t>Валютная девизная политика</w:t>
      </w:r>
      <w:r w:rsidRPr="00B96633">
        <w:rPr>
          <w:rStyle w:val="longtext"/>
          <w:rFonts w:ascii="Times New Roman" w:hAnsi="Times New Roman" w:cs="Times New Roman"/>
          <w:sz w:val="24"/>
          <w:szCs w:val="24"/>
          <w:shd w:val="clear" w:color="auto" w:fill="FFFFFF"/>
        </w:rPr>
        <w:t xml:space="preserve"> - это система регулирования валютного курса </w:t>
      </w:r>
      <w:r>
        <w:rPr>
          <w:rStyle w:val="longtext"/>
          <w:rFonts w:ascii="Times New Roman" w:hAnsi="Times New Roman" w:cs="Times New Roman"/>
          <w:sz w:val="24"/>
          <w:szCs w:val="24"/>
          <w:shd w:val="clear" w:color="auto" w:fill="FFFFFF"/>
        </w:rPr>
        <w:t>путем приобретения</w:t>
      </w:r>
      <w:r w:rsidRPr="00B96633">
        <w:rPr>
          <w:rStyle w:val="longtext"/>
          <w:rFonts w:ascii="Times New Roman" w:hAnsi="Times New Roman" w:cs="Times New Roman"/>
          <w:sz w:val="24"/>
          <w:szCs w:val="24"/>
          <w:shd w:val="clear" w:color="auto" w:fill="FFFFFF"/>
        </w:rPr>
        <w:t xml:space="preserve"> и п</w:t>
      </w:r>
      <w:r>
        <w:rPr>
          <w:rStyle w:val="longtext"/>
          <w:rFonts w:ascii="Times New Roman" w:hAnsi="Times New Roman" w:cs="Times New Roman"/>
          <w:sz w:val="24"/>
          <w:szCs w:val="24"/>
          <w:shd w:val="clear" w:color="auto" w:fill="FFFFFF"/>
        </w:rPr>
        <w:t>родажи</w:t>
      </w:r>
      <w:r w:rsidRPr="00B96633">
        <w:rPr>
          <w:rStyle w:val="longtext"/>
          <w:rFonts w:ascii="Times New Roman" w:hAnsi="Times New Roman" w:cs="Times New Roman"/>
          <w:sz w:val="24"/>
          <w:szCs w:val="24"/>
          <w:shd w:val="clear" w:color="auto" w:fill="FFFFFF"/>
        </w:rPr>
        <w:t xml:space="preserve"> государственными органами иностранной валюты с помощью валютных интервенций и валютных ограничений. </w:t>
      </w:r>
    </w:p>
    <w:p w:rsidR="004B624A" w:rsidRPr="00B96633" w:rsidRDefault="004B624A" w:rsidP="004B624A">
      <w:pPr>
        <w:spacing w:after="0" w:line="240" w:lineRule="auto"/>
        <w:ind w:firstLine="709"/>
        <w:jc w:val="both"/>
        <w:rPr>
          <w:rFonts w:ascii="Times New Roman" w:eastAsia="Calibri" w:hAnsi="Times New Roman" w:cs="Times New Roman"/>
          <w:sz w:val="24"/>
          <w:szCs w:val="24"/>
          <w:shd w:val="clear" w:color="auto" w:fill="FFFFFF"/>
        </w:rPr>
      </w:pPr>
      <w:r w:rsidRPr="00707AF9">
        <w:rPr>
          <w:rStyle w:val="longtext"/>
          <w:rFonts w:ascii="Times New Roman" w:hAnsi="Times New Roman" w:cs="Times New Roman"/>
          <w:b/>
          <w:sz w:val="24"/>
          <w:szCs w:val="24"/>
          <w:shd w:val="clear" w:color="auto" w:fill="FFFFFF"/>
        </w:rPr>
        <w:t>Долгосрочная (структурная) валютная политика</w:t>
      </w:r>
      <w:r w:rsidRPr="00B96633">
        <w:rPr>
          <w:rStyle w:val="longtext"/>
          <w:rFonts w:ascii="Times New Roman" w:hAnsi="Times New Roman" w:cs="Times New Roman"/>
          <w:sz w:val="24"/>
          <w:szCs w:val="24"/>
          <w:shd w:val="clear" w:color="auto" w:fill="FFFFFF"/>
        </w:rPr>
        <w:t xml:space="preserve"> предполагает долгосрочные меры структурного характера по последовательной смен</w:t>
      </w:r>
      <w:r>
        <w:rPr>
          <w:rStyle w:val="longtext"/>
          <w:rFonts w:ascii="Times New Roman" w:hAnsi="Times New Roman" w:cs="Times New Roman"/>
          <w:sz w:val="24"/>
          <w:szCs w:val="24"/>
          <w:shd w:val="clear" w:color="auto" w:fill="FFFFFF"/>
        </w:rPr>
        <w:t>е</w:t>
      </w:r>
      <w:r w:rsidRPr="00B96633">
        <w:rPr>
          <w:rStyle w:val="longtext"/>
          <w:rFonts w:ascii="Times New Roman" w:hAnsi="Times New Roman" w:cs="Times New Roman"/>
          <w:sz w:val="24"/>
          <w:szCs w:val="24"/>
          <w:shd w:val="clear" w:color="auto" w:fill="FFFFFF"/>
        </w:rPr>
        <w:t xml:space="preserve"> валютного механизма.</w:t>
      </w:r>
    </w:p>
    <w:p w:rsidR="00606B6E" w:rsidRDefault="00606B6E" w:rsidP="004B624A">
      <w:pPr>
        <w:spacing w:after="0" w:line="240" w:lineRule="auto"/>
        <w:jc w:val="center"/>
        <w:rPr>
          <w:rFonts w:ascii="Times New Roman" w:hAnsi="Times New Roman" w:cs="Times New Roman"/>
          <w:b/>
          <w:sz w:val="24"/>
          <w:szCs w:val="24"/>
        </w:rPr>
      </w:pPr>
    </w:p>
    <w:p w:rsidR="00606B6E" w:rsidRDefault="00606B6E" w:rsidP="004B624A">
      <w:pPr>
        <w:spacing w:after="0" w:line="240" w:lineRule="auto"/>
        <w:jc w:val="center"/>
        <w:rPr>
          <w:rFonts w:ascii="Times New Roman" w:hAnsi="Times New Roman" w:cs="Times New Roman"/>
          <w:b/>
          <w:sz w:val="24"/>
          <w:szCs w:val="24"/>
        </w:rPr>
      </w:pPr>
    </w:p>
    <w:p w:rsidR="00606B6E" w:rsidRDefault="00606B6E" w:rsidP="004B624A">
      <w:pPr>
        <w:spacing w:after="0" w:line="240" w:lineRule="auto"/>
        <w:jc w:val="center"/>
        <w:rPr>
          <w:rFonts w:ascii="Times New Roman" w:hAnsi="Times New Roman" w:cs="Times New Roman"/>
          <w:b/>
          <w:sz w:val="24"/>
          <w:szCs w:val="24"/>
        </w:rPr>
      </w:pPr>
    </w:p>
    <w:p w:rsidR="00606B6E" w:rsidRDefault="00606B6E" w:rsidP="004B624A">
      <w:pPr>
        <w:spacing w:after="0" w:line="240" w:lineRule="auto"/>
        <w:jc w:val="center"/>
        <w:rPr>
          <w:rFonts w:ascii="Times New Roman" w:hAnsi="Times New Roman" w:cs="Times New Roman"/>
          <w:b/>
          <w:sz w:val="24"/>
          <w:szCs w:val="24"/>
        </w:rPr>
      </w:pPr>
    </w:p>
    <w:p w:rsidR="004B624A" w:rsidRPr="006D0C26" w:rsidRDefault="004B624A" w:rsidP="004B62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Pr="006D0C26">
        <w:rPr>
          <w:rFonts w:ascii="Times New Roman" w:hAnsi="Times New Roman" w:cs="Times New Roman"/>
          <w:b/>
          <w:sz w:val="24"/>
          <w:szCs w:val="24"/>
        </w:rPr>
        <w:t>Международные расчеты</w:t>
      </w:r>
      <w:r>
        <w:rPr>
          <w:rFonts w:ascii="Times New Roman" w:hAnsi="Times New Roman" w:cs="Times New Roman"/>
          <w:b/>
          <w:sz w:val="24"/>
          <w:szCs w:val="24"/>
        </w:rPr>
        <w:t xml:space="preserve"> и их основные формы</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 xml:space="preserve">Основной формой валютных отношений являются международные расчеты, которые совершаются по международным операциям купли – продажи товаров и услуг, кредитования и т.д. </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b/>
          <w:sz w:val="24"/>
          <w:szCs w:val="24"/>
        </w:rPr>
        <w:t>Международные расчеты</w:t>
      </w:r>
      <w:r w:rsidRPr="00D154F0">
        <w:rPr>
          <w:rFonts w:ascii="Times New Roman" w:eastAsia="Calibri" w:hAnsi="Times New Roman" w:cs="Times New Roman"/>
          <w:sz w:val="24"/>
          <w:szCs w:val="24"/>
        </w:rPr>
        <w:t xml:space="preserve"> – это:</w:t>
      </w:r>
    </w:p>
    <w:p w:rsidR="004B624A" w:rsidRPr="00D154F0" w:rsidRDefault="004B624A" w:rsidP="004B624A">
      <w:pPr>
        <w:numPr>
          <w:ilvl w:val="0"/>
          <w:numId w:val="3"/>
        </w:numPr>
        <w:spacing w:after="0" w:line="240" w:lineRule="auto"/>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Коммерческие платежи – по денежным требованиям и обязательствам, возникающим между банками, предприятиями, учреждениями ра</w:t>
      </w:r>
      <w:r w:rsidR="00606B6E">
        <w:rPr>
          <w:rFonts w:ascii="Times New Roman" w:eastAsia="Calibri" w:hAnsi="Times New Roman" w:cs="Times New Roman"/>
          <w:sz w:val="24"/>
          <w:szCs w:val="24"/>
        </w:rPr>
        <w:t>зных стран, которые связаны с международной торговлей, международным кредитом</w:t>
      </w:r>
      <w:r w:rsidRPr="00D154F0">
        <w:rPr>
          <w:rFonts w:ascii="Times New Roman" w:eastAsia="Calibri" w:hAnsi="Times New Roman" w:cs="Times New Roman"/>
          <w:sz w:val="24"/>
          <w:szCs w:val="24"/>
        </w:rPr>
        <w:t xml:space="preserve"> и ПЗИ;</w:t>
      </w:r>
    </w:p>
    <w:p w:rsidR="004B624A" w:rsidRPr="00D154F0" w:rsidRDefault="004B624A" w:rsidP="004B624A">
      <w:pPr>
        <w:numPr>
          <w:ilvl w:val="0"/>
          <w:numId w:val="3"/>
        </w:numPr>
        <w:spacing w:after="0" w:line="240" w:lineRule="auto"/>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Некоммерческие платежи, связанные с перевозками пассажиров, страхованием, туризмом, переводом денег за границу и т.д.</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Международные расчеты могут быть двусторонними и многосторонними.</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Преобладающая доля международных расчетов совершается в виде безналичных расчетов, производимых через банки разных стран, которые поддерживают взаимные корреспондентские связи, то есть открывают друг другу счета, сохраняют на них денежные средства  в  соответствующей валюте и выполняют платежные и другие поручения.</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Основными форм</w:t>
      </w:r>
      <w:r w:rsidR="00606B6E">
        <w:rPr>
          <w:rFonts w:ascii="Times New Roman" w:eastAsia="Calibri" w:hAnsi="Times New Roman" w:cs="Times New Roman"/>
          <w:sz w:val="24"/>
          <w:szCs w:val="24"/>
        </w:rPr>
        <w:t>ами международных расчетов по международной торговле</w:t>
      </w:r>
      <w:r w:rsidRPr="00D154F0">
        <w:rPr>
          <w:rFonts w:ascii="Times New Roman" w:eastAsia="Calibri" w:hAnsi="Times New Roman" w:cs="Times New Roman"/>
          <w:sz w:val="24"/>
          <w:szCs w:val="24"/>
        </w:rPr>
        <w:t xml:space="preserve"> являются товарный аккредитив и инкассо.</w:t>
      </w:r>
    </w:p>
    <w:p w:rsidR="004B624A" w:rsidRPr="00D154F0" w:rsidRDefault="004B624A" w:rsidP="004B624A">
      <w:pPr>
        <w:spacing w:after="0" w:line="240" w:lineRule="auto"/>
        <w:ind w:firstLine="709"/>
        <w:jc w:val="both"/>
        <w:rPr>
          <w:rFonts w:ascii="Times New Roman" w:hAnsi="Times New Roman" w:cs="Times New Roman"/>
          <w:sz w:val="24"/>
          <w:szCs w:val="24"/>
        </w:rPr>
      </w:pPr>
      <w:r w:rsidRPr="00A0152C">
        <w:rPr>
          <w:rFonts w:ascii="Times New Roman" w:eastAsia="Calibri" w:hAnsi="Times New Roman" w:cs="Times New Roman"/>
          <w:b/>
          <w:sz w:val="24"/>
          <w:szCs w:val="24"/>
          <w:u w:val="single"/>
        </w:rPr>
        <w:t>Товарный аккредитив</w:t>
      </w:r>
      <w:r w:rsidRPr="00D154F0">
        <w:rPr>
          <w:rFonts w:ascii="Times New Roman" w:eastAsia="Calibri" w:hAnsi="Times New Roman" w:cs="Times New Roman"/>
          <w:sz w:val="24"/>
          <w:szCs w:val="24"/>
        </w:rPr>
        <w:t xml:space="preserve"> – это расчетный или денежный документ, который представляет собой поручение одного кредитного учреждения другому совершить, за счет специально забронированных средств, оплату товарно-транспортных документов за отгруженный товар или выплатить предъявителю аккредитива определенную сумму денег. </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b/>
          <w:sz w:val="24"/>
          <w:szCs w:val="24"/>
        </w:rPr>
        <w:t>Аккредитив может быть отзывным, безотзывным и переводным</w:t>
      </w:r>
      <w:r w:rsidRPr="00D154F0">
        <w:rPr>
          <w:rFonts w:ascii="Times New Roman" w:eastAsia="Calibri" w:hAnsi="Times New Roman" w:cs="Times New Roman"/>
          <w:sz w:val="24"/>
          <w:szCs w:val="24"/>
        </w:rPr>
        <w:t>.</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proofErr w:type="gramStart"/>
      <w:r w:rsidRPr="00D154F0">
        <w:rPr>
          <w:rFonts w:ascii="Times New Roman" w:eastAsia="Calibri" w:hAnsi="Times New Roman" w:cs="Times New Roman"/>
          <w:sz w:val="24"/>
          <w:szCs w:val="24"/>
        </w:rPr>
        <w:t>Безотзывной</w:t>
      </w:r>
      <w:proofErr w:type="gramEnd"/>
      <w:r w:rsidRPr="00D154F0">
        <w:rPr>
          <w:rFonts w:ascii="Times New Roman" w:eastAsia="Calibri" w:hAnsi="Times New Roman" w:cs="Times New Roman"/>
          <w:sz w:val="24"/>
          <w:szCs w:val="24"/>
        </w:rPr>
        <w:t xml:space="preserve"> аккредитив – это твердое обязательство банка-эмитента не изменять и не аннулировать его без согласия заинтересованных сторон.</w:t>
      </w:r>
    </w:p>
    <w:p w:rsidR="004B624A" w:rsidRPr="00D154F0" w:rsidRDefault="004B624A" w:rsidP="004B624A">
      <w:pPr>
        <w:spacing w:after="0" w:line="240" w:lineRule="auto"/>
        <w:ind w:firstLine="709"/>
        <w:jc w:val="both"/>
        <w:rPr>
          <w:rFonts w:ascii="Times New Roman" w:eastAsia="Calibri" w:hAnsi="Times New Roman" w:cs="Times New Roman"/>
          <w:sz w:val="24"/>
          <w:szCs w:val="24"/>
        </w:rPr>
      </w:pPr>
      <w:r w:rsidRPr="00D154F0">
        <w:rPr>
          <w:rFonts w:ascii="Times New Roman" w:eastAsia="Calibri" w:hAnsi="Times New Roman" w:cs="Times New Roman"/>
          <w:sz w:val="24"/>
          <w:szCs w:val="24"/>
        </w:rPr>
        <w:t>Отзывной аккредитив может быть изменен или аннулирован в любой момент без предварительного уведомления продавца.</w:t>
      </w:r>
    </w:p>
    <w:p w:rsidR="004B624A" w:rsidRDefault="004B624A" w:rsidP="004B624A">
      <w:pPr>
        <w:spacing w:after="0" w:line="240" w:lineRule="auto"/>
        <w:ind w:firstLine="709"/>
        <w:jc w:val="both"/>
        <w:rPr>
          <w:rFonts w:ascii="Times New Roman" w:hAnsi="Times New Roman" w:cs="Times New Roman"/>
          <w:sz w:val="24"/>
          <w:szCs w:val="24"/>
        </w:rPr>
      </w:pPr>
      <w:r w:rsidRPr="00D154F0">
        <w:rPr>
          <w:rFonts w:ascii="Times New Roman" w:eastAsia="Calibri" w:hAnsi="Times New Roman" w:cs="Times New Roman"/>
          <w:sz w:val="24"/>
          <w:szCs w:val="24"/>
        </w:rPr>
        <w:t>Переводной аккредитив применяется по договоренности с покупателем в том случае, если продавец имеет субподрядчиков, которым он переводит часть данного аккредитива. Переводной аккредитив дешевле, чем открытие отдельных аккредитивов каждому субподрядчику.</w:t>
      </w:r>
    </w:p>
    <w:p w:rsidR="004B624A" w:rsidRDefault="004B624A" w:rsidP="004B624A">
      <w:pPr>
        <w:spacing w:after="0" w:line="240" w:lineRule="auto"/>
        <w:ind w:firstLine="709"/>
        <w:jc w:val="both"/>
        <w:rPr>
          <w:rFonts w:ascii="Times New Roman" w:hAnsi="Times New Roman" w:cs="Times New Roman"/>
          <w:sz w:val="24"/>
          <w:szCs w:val="24"/>
        </w:rPr>
      </w:pPr>
      <w:r w:rsidRPr="00A0152C">
        <w:rPr>
          <w:rFonts w:ascii="Times New Roman" w:hAnsi="Times New Roman" w:cs="Times New Roman"/>
          <w:b/>
          <w:bCs/>
          <w:sz w:val="24"/>
          <w:szCs w:val="24"/>
        </w:rPr>
        <w:t>Преимущества</w:t>
      </w:r>
      <w:r w:rsidRPr="00D154F0">
        <w:rPr>
          <w:rFonts w:ascii="Times New Roman" w:hAnsi="Times New Roman" w:cs="Times New Roman"/>
          <w:bCs/>
          <w:sz w:val="24"/>
          <w:szCs w:val="24"/>
        </w:rPr>
        <w:t xml:space="preserve"> данной формы безналичных расчетов</w:t>
      </w:r>
      <w:r w:rsidRPr="00D154F0">
        <w:rPr>
          <w:rFonts w:ascii="Times New Roman" w:hAnsi="Times New Roman" w:cs="Times New Roman"/>
          <w:sz w:val="24"/>
          <w:szCs w:val="24"/>
        </w:rPr>
        <w:t xml:space="preserve">: гарантия платежа поставщику; контроль </w:t>
      </w:r>
      <w:r>
        <w:rPr>
          <w:rFonts w:ascii="Times New Roman" w:hAnsi="Times New Roman" w:cs="Times New Roman"/>
          <w:sz w:val="24"/>
          <w:szCs w:val="24"/>
        </w:rPr>
        <w:t>над</w:t>
      </w:r>
      <w:r w:rsidRPr="00D154F0">
        <w:rPr>
          <w:rFonts w:ascii="Times New Roman" w:hAnsi="Times New Roman" w:cs="Times New Roman"/>
          <w:sz w:val="24"/>
          <w:szCs w:val="24"/>
        </w:rPr>
        <w:t xml:space="preserve"> выполнением условий поставки и условиями аккредитива банками; как правило</w:t>
      </w:r>
      <w:r>
        <w:rPr>
          <w:rFonts w:ascii="Times New Roman" w:hAnsi="Times New Roman" w:cs="Times New Roman"/>
          <w:sz w:val="24"/>
          <w:szCs w:val="24"/>
        </w:rPr>
        <w:t>,</w:t>
      </w:r>
      <w:r w:rsidRPr="00D154F0">
        <w:rPr>
          <w:rFonts w:ascii="Times New Roman" w:hAnsi="Times New Roman" w:cs="Times New Roman"/>
          <w:sz w:val="24"/>
          <w:szCs w:val="24"/>
        </w:rPr>
        <w:t xml:space="preserve"> не отвлекаются средства из хозяйственного оборота.</w:t>
      </w:r>
    </w:p>
    <w:p w:rsidR="004B624A" w:rsidRPr="00D154F0" w:rsidRDefault="004B624A" w:rsidP="004B624A">
      <w:pPr>
        <w:spacing w:after="0" w:line="240" w:lineRule="auto"/>
        <w:ind w:firstLine="709"/>
        <w:jc w:val="both"/>
        <w:rPr>
          <w:rFonts w:ascii="Times New Roman" w:hAnsi="Times New Roman" w:cs="Times New Roman"/>
          <w:sz w:val="24"/>
          <w:szCs w:val="24"/>
        </w:rPr>
      </w:pPr>
      <w:r w:rsidRPr="00A0152C">
        <w:rPr>
          <w:rFonts w:ascii="Times New Roman" w:hAnsi="Times New Roman" w:cs="Times New Roman"/>
          <w:b/>
          <w:bCs/>
          <w:sz w:val="24"/>
          <w:szCs w:val="24"/>
        </w:rPr>
        <w:t>Недостатки</w:t>
      </w:r>
      <w:r w:rsidRPr="00A0152C">
        <w:rPr>
          <w:rFonts w:ascii="Times New Roman" w:hAnsi="Times New Roman" w:cs="Times New Roman"/>
          <w:b/>
          <w:sz w:val="24"/>
          <w:szCs w:val="24"/>
        </w:rPr>
        <w:t>:</w:t>
      </w:r>
      <w:r w:rsidRPr="00D154F0">
        <w:rPr>
          <w:rFonts w:ascii="Times New Roman" w:hAnsi="Times New Roman" w:cs="Times New Roman"/>
          <w:sz w:val="24"/>
          <w:szCs w:val="24"/>
        </w:rPr>
        <w:t xml:space="preserve"> сложный документооборот; высокие комиссии банков.</w:t>
      </w:r>
    </w:p>
    <w:p w:rsidR="004B624A" w:rsidRDefault="004B624A" w:rsidP="004B624A">
      <w:pPr>
        <w:spacing w:after="0" w:line="240" w:lineRule="auto"/>
        <w:ind w:firstLine="709"/>
        <w:jc w:val="both"/>
        <w:rPr>
          <w:rFonts w:ascii="Times New Roman" w:hAnsi="Times New Roman" w:cs="Times New Roman"/>
          <w:sz w:val="24"/>
          <w:szCs w:val="24"/>
        </w:rPr>
      </w:pPr>
      <w:r w:rsidRPr="00A0152C">
        <w:rPr>
          <w:rFonts w:ascii="Times New Roman" w:eastAsia="Calibri" w:hAnsi="Times New Roman" w:cs="Times New Roman"/>
          <w:b/>
          <w:sz w:val="24"/>
          <w:szCs w:val="24"/>
          <w:u w:val="single"/>
        </w:rPr>
        <w:t>Инкассо</w:t>
      </w:r>
      <w:r w:rsidRPr="006209D9">
        <w:rPr>
          <w:rFonts w:ascii="Times New Roman" w:eastAsia="Calibri" w:hAnsi="Times New Roman" w:cs="Times New Roman"/>
          <w:sz w:val="24"/>
          <w:szCs w:val="24"/>
        </w:rPr>
        <w:t xml:space="preserve"> – это банковская операция, с помощью которой банк, по поручению своего клиента, получает на основании расчетных документов принадлежащие ему (клиенту) денежные средства от предприятий за отгруженные </w:t>
      </w:r>
      <w:proofErr w:type="spellStart"/>
      <w:proofErr w:type="gramStart"/>
      <w:r w:rsidRPr="006209D9">
        <w:rPr>
          <w:rFonts w:ascii="Times New Roman" w:eastAsia="Calibri" w:hAnsi="Times New Roman" w:cs="Times New Roman"/>
          <w:sz w:val="24"/>
          <w:szCs w:val="24"/>
        </w:rPr>
        <w:t>товаро-материальные</w:t>
      </w:r>
      <w:proofErr w:type="spellEnd"/>
      <w:proofErr w:type="gramEnd"/>
      <w:r w:rsidRPr="006209D9">
        <w:rPr>
          <w:rFonts w:ascii="Times New Roman" w:eastAsia="Calibri" w:hAnsi="Times New Roman" w:cs="Times New Roman"/>
          <w:sz w:val="24"/>
          <w:szCs w:val="24"/>
        </w:rPr>
        <w:t xml:space="preserve"> ценности или предоставленные услуги и зачисляет эти средства на его счет в банке.</w:t>
      </w:r>
    </w:p>
    <w:p w:rsidR="004B624A" w:rsidRDefault="004B624A" w:rsidP="004B624A">
      <w:pPr>
        <w:spacing w:after="0" w:line="240" w:lineRule="auto"/>
        <w:ind w:firstLine="709"/>
        <w:jc w:val="both"/>
        <w:rPr>
          <w:rFonts w:ascii="Times New Roman" w:hAnsi="Times New Roman" w:cs="Times New Roman"/>
          <w:sz w:val="24"/>
          <w:szCs w:val="24"/>
        </w:rPr>
      </w:pPr>
      <w:r w:rsidRPr="006209D9">
        <w:rPr>
          <w:rFonts w:ascii="Times New Roman" w:hAnsi="Times New Roman" w:cs="Times New Roman"/>
          <w:b/>
          <w:sz w:val="24"/>
          <w:szCs w:val="24"/>
        </w:rPr>
        <w:t>Инкассо может быть чистым и документарным</w:t>
      </w:r>
      <w:r w:rsidRPr="006209D9">
        <w:rPr>
          <w:rFonts w:ascii="Times New Roman" w:hAnsi="Times New Roman" w:cs="Times New Roman"/>
          <w:sz w:val="24"/>
          <w:szCs w:val="24"/>
        </w:rPr>
        <w:t>.</w:t>
      </w:r>
    </w:p>
    <w:p w:rsidR="004B624A" w:rsidRDefault="004B624A" w:rsidP="004B624A">
      <w:pPr>
        <w:spacing w:after="0" w:line="240" w:lineRule="auto"/>
        <w:ind w:firstLine="709"/>
        <w:jc w:val="both"/>
        <w:rPr>
          <w:rFonts w:ascii="Times New Roman" w:hAnsi="Times New Roman" w:cs="Times New Roman"/>
          <w:sz w:val="24"/>
          <w:szCs w:val="24"/>
        </w:rPr>
      </w:pPr>
      <w:r w:rsidRPr="006209D9">
        <w:rPr>
          <w:rFonts w:ascii="Times New Roman" w:hAnsi="Times New Roman" w:cs="Times New Roman"/>
          <w:b/>
          <w:bCs/>
          <w:sz w:val="24"/>
          <w:szCs w:val="24"/>
        </w:rPr>
        <w:t>Чистое инкассо</w:t>
      </w:r>
      <w:r w:rsidRPr="006209D9">
        <w:rPr>
          <w:rFonts w:ascii="Times New Roman" w:hAnsi="Times New Roman" w:cs="Times New Roman"/>
          <w:sz w:val="24"/>
          <w:szCs w:val="24"/>
        </w:rPr>
        <w:t xml:space="preserve"> — это инкассо финансовых документов (переводные и простые </w:t>
      </w:r>
      <w:r w:rsidRPr="00A0152C">
        <w:rPr>
          <w:rFonts w:ascii="Times New Roman" w:hAnsi="Times New Roman" w:cs="Times New Roman"/>
          <w:sz w:val="24"/>
          <w:szCs w:val="24"/>
        </w:rPr>
        <w:t>векселя</w:t>
      </w:r>
      <w:r w:rsidRPr="006209D9">
        <w:rPr>
          <w:rFonts w:ascii="Times New Roman" w:hAnsi="Times New Roman" w:cs="Times New Roman"/>
          <w:sz w:val="24"/>
          <w:szCs w:val="24"/>
        </w:rPr>
        <w:t xml:space="preserve">, </w:t>
      </w:r>
      <w:r w:rsidRPr="00A0152C">
        <w:rPr>
          <w:rFonts w:ascii="Times New Roman" w:hAnsi="Times New Roman" w:cs="Times New Roman"/>
          <w:sz w:val="24"/>
          <w:szCs w:val="24"/>
        </w:rPr>
        <w:t>чеки</w:t>
      </w:r>
      <w:r w:rsidRPr="006209D9">
        <w:rPr>
          <w:rFonts w:ascii="Times New Roman" w:hAnsi="Times New Roman" w:cs="Times New Roman"/>
          <w:sz w:val="24"/>
          <w:szCs w:val="24"/>
        </w:rPr>
        <w:t xml:space="preserve"> и другие подобные документы, используемые для получения платежей), когда они не сопровождаются коммерческими документами.</w:t>
      </w:r>
    </w:p>
    <w:p w:rsidR="004B624A" w:rsidRPr="006209D9" w:rsidRDefault="004B624A" w:rsidP="004B624A">
      <w:pPr>
        <w:spacing w:after="0" w:line="240" w:lineRule="auto"/>
        <w:ind w:firstLine="709"/>
        <w:jc w:val="both"/>
        <w:rPr>
          <w:rFonts w:ascii="Times New Roman" w:hAnsi="Times New Roman" w:cs="Times New Roman"/>
          <w:sz w:val="24"/>
          <w:szCs w:val="24"/>
        </w:rPr>
      </w:pPr>
      <w:r w:rsidRPr="006209D9">
        <w:rPr>
          <w:rFonts w:ascii="Times New Roman" w:hAnsi="Times New Roman" w:cs="Times New Roman"/>
          <w:b/>
          <w:bCs/>
          <w:sz w:val="24"/>
          <w:szCs w:val="24"/>
        </w:rPr>
        <w:t>Документарное инкассо</w:t>
      </w:r>
      <w:r w:rsidRPr="006209D9">
        <w:rPr>
          <w:rFonts w:ascii="Times New Roman" w:hAnsi="Times New Roman" w:cs="Times New Roman"/>
          <w:sz w:val="24"/>
          <w:szCs w:val="24"/>
        </w:rPr>
        <w:t> — это инкассо финансовых документов, сопровождаемых коммерческими документами (счета, транспортные и страховые документы и пр.), а также инкассо только коммерческих документов. За выполнение инкассо банки взимают комиссионные.</w:t>
      </w:r>
    </w:p>
    <w:p w:rsidR="004B624A" w:rsidRDefault="004B624A" w:rsidP="004B624A">
      <w:pPr>
        <w:spacing w:after="0" w:line="240" w:lineRule="auto"/>
        <w:jc w:val="both"/>
        <w:rPr>
          <w:rFonts w:ascii="Times New Roman" w:hAnsi="Times New Roman" w:cs="Times New Roman"/>
          <w:sz w:val="24"/>
          <w:szCs w:val="24"/>
        </w:rPr>
      </w:pPr>
    </w:p>
    <w:p w:rsidR="00A0152C" w:rsidRDefault="00A0152C" w:rsidP="004B624A">
      <w:pPr>
        <w:spacing w:after="0" w:line="240" w:lineRule="auto"/>
        <w:jc w:val="both"/>
        <w:rPr>
          <w:rFonts w:ascii="Times New Roman" w:hAnsi="Times New Roman" w:cs="Times New Roman"/>
          <w:sz w:val="24"/>
          <w:szCs w:val="24"/>
        </w:rPr>
      </w:pPr>
    </w:p>
    <w:p w:rsidR="00A0152C" w:rsidRDefault="00A0152C" w:rsidP="004B624A">
      <w:pPr>
        <w:spacing w:after="0" w:line="240" w:lineRule="auto"/>
        <w:jc w:val="both"/>
        <w:rPr>
          <w:rFonts w:ascii="Times New Roman" w:hAnsi="Times New Roman" w:cs="Times New Roman"/>
          <w:sz w:val="24"/>
          <w:szCs w:val="24"/>
        </w:rPr>
      </w:pPr>
    </w:p>
    <w:p w:rsidR="00A0152C" w:rsidRDefault="00A0152C" w:rsidP="004B624A">
      <w:pPr>
        <w:spacing w:after="0" w:line="240" w:lineRule="auto"/>
        <w:jc w:val="both"/>
        <w:rPr>
          <w:rFonts w:ascii="Times New Roman" w:hAnsi="Times New Roman" w:cs="Times New Roman"/>
          <w:sz w:val="24"/>
          <w:szCs w:val="24"/>
        </w:rPr>
      </w:pPr>
    </w:p>
    <w:p w:rsidR="004B624A" w:rsidRPr="00C62004" w:rsidRDefault="004B624A" w:rsidP="004B62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3.</w:t>
      </w:r>
      <w:r w:rsidRPr="00C62004">
        <w:rPr>
          <w:rFonts w:ascii="Times New Roman" w:hAnsi="Times New Roman" w:cs="Times New Roman"/>
          <w:b/>
          <w:sz w:val="24"/>
          <w:szCs w:val="24"/>
        </w:rPr>
        <w:t>Платежный баланс и его структура</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b/>
          <w:sz w:val="24"/>
          <w:szCs w:val="24"/>
        </w:rPr>
        <w:t>Платежный баланс</w:t>
      </w:r>
      <w:r>
        <w:rPr>
          <w:rFonts w:ascii="Times New Roman" w:hAnsi="Times New Roman" w:cs="Times New Roman"/>
          <w:b/>
          <w:sz w:val="24"/>
          <w:szCs w:val="24"/>
        </w:rPr>
        <w:t xml:space="preserve"> (ПБ)</w:t>
      </w:r>
      <w:r w:rsidRPr="00AD2355">
        <w:rPr>
          <w:rFonts w:ascii="Times New Roman" w:eastAsia="Calibri" w:hAnsi="Times New Roman" w:cs="Times New Roman"/>
          <w:sz w:val="24"/>
          <w:szCs w:val="24"/>
        </w:rPr>
        <w:t xml:space="preserve"> – объем и соотношение суммы платежей, совершенных данной страной за границей, и суммы поступлений из-за границы за определенный период времени (год, квартал). Превышение поступлений над платежами составляет активное сальдо, а превышение платежей над поступлениями – пассивное сальдо.</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b/>
          <w:sz w:val="24"/>
          <w:szCs w:val="24"/>
        </w:rPr>
        <w:t>Состояние ПБ существенно влияет на валютное положение страны</w:t>
      </w:r>
      <w:r w:rsidRPr="00AD2355">
        <w:rPr>
          <w:rFonts w:ascii="Times New Roman" w:eastAsia="Calibri" w:hAnsi="Times New Roman" w:cs="Times New Roman"/>
          <w:sz w:val="24"/>
          <w:szCs w:val="24"/>
        </w:rPr>
        <w:t>. Как правило, пассивность ПБ ухудшает состояние рынка той или иной валюты, поскольку обуславливает падение курса национальной валюты. Активный баланс улучшает состояние национальной валюты, поскольку предложение иностранной валюты превышает спрос на нее, вследствие чего вырастает курс национальной валюты.</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Платежный баланс имеет две стороны: статьи кредита и статьи дебета. Статьи кредита – плюсовые статьи – отображают операции «экспортного типа», по которым страна получает иностранную валюту. Статьи дебета – минусовые статьи – отображают операции импортного типа, по которым иностранная валюта тратится. То есть кредит показывает приток иностранной валюты – ее предложение, а дебет – затраты иностранной валюты – спрос на нее.</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b/>
          <w:sz w:val="24"/>
          <w:szCs w:val="24"/>
        </w:rPr>
        <w:t>ПБ состоит из трех частей</w:t>
      </w:r>
      <w:r w:rsidRPr="00AD2355">
        <w:rPr>
          <w:rFonts w:ascii="Times New Roman" w:eastAsia="Calibri" w:hAnsi="Times New Roman" w:cs="Times New Roman"/>
          <w:sz w:val="24"/>
          <w:szCs w:val="24"/>
        </w:rPr>
        <w:t>:</w:t>
      </w:r>
    </w:p>
    <w:p w:rsidR="004B624A" w:rsidRPr="00AD2355" w:rsidRDefault="004B624A" w:rsidP="004B624A">
      <w:pPr>
        <w:numPr>
          <w:ilvl w:val="0"/>
          <w:numId w:val="4"/>
        </w:numPr>
        <w:spacing w:after="0" w:line="240" w:lineRule="auto"/>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Счет текущих операций;</w:t>
      </w:r>
    </w:p>
    <w:p w:rsidR="004B624A" w:rsidRPr="00AD2355" w:rsidRDefault="004B624A" w:rsidP="004B624A">
      <w:pPr>
        <w:numPr>
          <w:ilvl w:val="0"/>
          <w:numId w:val="4"/>
        </w:numPr>
        <w:spacing w:after="0" w:line="240" w:lineRule="auto"/>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Счет операций с капиталом;</w:t>
      </w:r>
    </w:p>
    <w:p w:rsidR="004B624A" w:rsidRPr="00AD2355" w:rsidRDefault="004B624A" w:rsidP="004B624A">
      <w:pPr>
        <w:numPr>
          <w:ilvl w:val="0"/>
          <w:numId w:val="4"/>
        </w:numPr>
        <w:spacing w:after="0" w:line="240" w:lineRule="auto"/>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Счет официальных резервов.</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Первая часть – счет текущих операций – включает такие статьи – со стороны кредита – экспорт товаров, услуг, частные доходы от инвестиций; со стороны дебета – импорт товаров и услуг, частные денежные переводы.</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Вторая часть – счет операций с капиталом – отображает со стороны кредита – приток капитала в страну, а со стороны дебета – отток капитала.</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Третья часть – счет официальных резервов служит для регулирования несбалансированности ПБ по текущим операциям и операциям с капиталом, а также для поддержки необходимого курса иностранной валюты.</w:t>
      </w:r>
    </w:p>
    <w:p w:rsidR="004B624A" w:rsidRPr="00AD2355" w:rsidRDefault="004B624A" w:rsidP="004B624A">
      <w:pPr>
        <w:spacing w:after="0" w:line="240" w:lineRule="auto"/>
        <w:ind w:firstLine="709"/>
        <w:jc w:val="both"/>
        <w:rPr>
          <w:rFonts w:ascii="Times New Roman" w:eastAsia="Calibri" w:hAnsi="Times New Roman" w:cs="Times New Roman"/>
          <w:sz w:val="24"/>
          <w:szCs w:val="24"/>
        </w:rPr>
      </w:pPr>
      <w:r w:rsidRPr="00AD2355">
        <w:rPr>
          <w:rFonts w:ascii="Times New Roman" w:eastAsia="Calibri" w:hAnsi="Times New Roman" w:cs="Times New Roman"/>
          <w:sz w:val="24"/>
          <w:szCs w:val="24"/>
        </w:rPr>
        <w:t>Исходя из всего вышесказанного, в ПБ отображается состояние национальной экономики и ее место в системе мирохозяйственных связей. Такая информация необходима для выбора и формирования денежной, налоговой и валютной политики, адекватной социально-экономическим и политическим условиям определенной страны.</w:t>
      </w:r>
    </w:p>
    <w:p w:rsidR="004B624A" w:rsidRDefault="004B624A" w:rsidP="004B624A">
      <w:pPr>
        <w:spacing w:after="0" w:line="240" w:lineRule="auto"/>
        <w:jc w:val="both"/>
        <w:rPr>
          <w:rFonts w:ascii="Times New Roman" w:hAnsi="Times New Roman" w:cs="Times New Roman"/>
          <w:sz w:val="24"/>
          <w:szCs w:val="24"/>
        </w:rPr>
      </w:pPr>
    </w:p>
    <w:p w:rsidR="004B624A" w:rsidRPr="00B14597" w:rsidRDefault="004B624A" w:rsidP="004B62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Pr="00B14597">
        <w:rPr>
          <w:rFonts w:ascii="Times New Roman" w:hAnsi="Times New Roman" w:cs="Times New Roman"/>
          <w:b/>
          <w:sz w:val="24"/>
          <w:szCs w:val="24"/>
        </w:rPr>
        <w:t>Балансирование статей платежного баланса</w:t>
      </w:r>
    </w:p>
    <w:p w:rsidR="004B624A" w:rsidRPr="00357DE0" w:rsidRDefault="004B624A" w:rsidP="004B624A">
      <w:pPr>
        <w:pStyle w:val="a4"/>
        <w:spacing w:before="0" w:beforeAutospacing="0" w:after="0" w:afterAutospacing="0"/>
        <w:ind w:firstLine="709"/>
        <w:jc w:val="both"/>
      </w:pPr>
      <w:r w:rsidRPr="00357DE0">
        <w:t xml:space="preserve">При публикации платежный баланс может быть представлен в «нейтральной» или в «гипотетической» форме. В </w:t>
      </w:r>
      <w:r w:rsidRPr="00357DE0">
        <w:rPr>
          <w:b/>
          <w:bCs/>
        </w:rPr>
        <w:t>«нейтральной» форме</w:t>
      </w:r>
      <w:r w:rsidRPr="00357DE0">
        <w:t xml:space="preserve"> товары, услуги и текущие трансферты объединяются в счете текущих операций, а капитальные трансферты, прямые инвестиции, портфельные инвестиции, финансовые производные, прочие инвестиции и резервные активы − в счете операций с капиталом и финансовыми инструментами. Для обеспечения равенства между счетами, добавляется </w:t>
      </w:r>
      <w:r w:rsidRPr="00357DE0">
        <w:rPr>
          <w:b/>
          <w:bCs/>
        </w:rPr>
        <w:t>балансирующая статья</w:t>
      </w:r>
      <w:r w:rsidRPr="00357DE0">
        <w:t xml:space="preserve"> «Чистые ошибки и пропуски» и выводится общее нулевое сальдо.</w:t>
      </w:r>
    </w:p>
    <w:p w:rsidR="004B624A" w:rsidRPr="00357DE0" w:rsidRDefault="004B624A" w:rsidP="00F44FFB">
      <w:pPr>
        <w:pStyle w:val="a4"/>
        <w:spacing w:before="0" w:beforeAutospacing="0" w:after="0" w:afterAutospacing="0"/>
        <w:ind w:firstLine="709"/>
        <w:jc w:val="both"/>
      </w:pPr>
      <w:r w:rsidRPr="00357DE0">
        <w:t xml:space="preserve">«Нейтральная» форма представления </w:t>
      </w:r>
      <w:r w:rsidRPr="00F44FFB">
        <w:rPr>
          <w:b/>
        </w:rPr>
        <w:t>обладает рядом недостатков</w:t>
      </w:r>
      <w:r w:rsidR="00F44FFB">
        <w:rPr>
          <w:b/>
        </w:rPr>
        <w:t>: 1)</w:t>
      </w:r>
      <w:r w:rsidR="00F44FFB">
        <w:t xml:space="preserve"> в нем не отражается</w:t>
      </w:r>
      <w:r w:rsidRPr="00357DE0">
        <w:t xml:space="preserve"> совокупный </w:t>
      </w:r>
      <w:r w:rsidR="00F44FFB">
        <w:t>результат экономического и прочего взаимодействия резидентов с нерезидентами; 2)</w:t>
      </w:r>
      <w:r w:rsidRPr="00357DE0">
        <w:t>невозможно определить, имеют ли приводимые пока</w:t>
      </w:r>
      <w:r w:rsidR="00F44FFB">
        <w:t>затели самостоятельное значение</w:t>
      </w:r>
      <w:r w:rsidRPr="00357DE0">
        <w:t xml:space="preserve"> или являются производными проводками, включенными туда ради соблюдения принципа двойной записи.</w:t>
      </w:r>
    </w:p>
    <w:p w:rsidR="004B624A" w:rsidRPr="00357DE0" w:rsidRDefault="004B624A" w:rsidP="004B624A">
      <w:pPr>
        <w:pStyle w:val="a4"/>
        <w:spacing w:before="0" w:beforeAutospacing="0" w:after="0" w:afterAutospacing="0"/>
        <w:ind w:firstLine="709"/>
        <w:jc w:val="both"/>
      </w:pPr>
      <w:r w:rsidRPr="00357DE0">
        <w:t xml:space="preserve">В связи с этим наряду с «нейтральным представлением» МВФ рекомендует составлять альтернативную версию платежного баланса, суть которой заключается в </w:t>
      </w:r>
      <w:proofErr w:type="spellStart"/>
      <w:r w:rsidRPr="00357DE0">
        <w:t>переклассификации</w:t>
      </w:r>
      <w:proofErr w:type="spellEnd"/>
      <w:r w:rsidRPr="00357DE0">
        <w:t xml:space="preserve"> и перегруппировке имеющихся сведений таким образом, чтобы по возможности отделить </w:t>
      </w:r>
      <w:r w:rsidR="00F44FFB">
        <w:t xml:space="preserve">основные </w:t>
      </w:r>
      <w:r w:rsidRPr="00357DE0">
        <w:t>операции от уравнове</w:t>
      </w:r>
      <w:r w:rsidR="000B419B">
        <w:t>шивающих записей. Этот вариант</w:t>
      </w:r>
      <w:r w:rsidRPr="00357DE0">
        <w:t xml:space="preserve"> уже предполагает выведение активного или пассивного сальдо платежного баланса, которое должно определяться как суммарный результат независимых, автономных </w:t>
      </w:r>
      <w:r w:rsidRPr="00357DE0">
        <w:lastRenderedPageBreak/>
        <w:t>операций текущего и капитального характера, самостоятельно осуществляемых резидентами и нерезидентами в их взаимоотношениях друг с другом, и, таким образом, показывать направленность внешнеэкономической деятельности страны. Все прочие операции, в особенности по линии официальных властей, рассматриваются как балансирующие операции по финансированию или использованию сальдо, свидетельствующие о способах и источниках его урегулирования.</w:t>
      </w:r>
    </w:p>
    <w:p w:rsidR="004B624A" w:rsidRPr="00357DE0" w:rsidRDefault="004B624A" w:rsidP="004B624A">
      <w:pPr>
        <w:pStyle w:val="a4"/>
        <w:spacing w:before="0" w:beforeAutospacing="0" w:after="0" w:afterAutospacing="0"/>
        <w:ind w:firstLine="709"/>
        <w:jc w:val="both"/>
      </w:pPr>
      <w:r w:rsidRPr="00357DE0">
        <w:t xml:space="preserve">Сальдо по основным статьям называется </w:t>
      </w:r>
      <w:r w:rsidRPr="00357DE0">
        <w:rPr>
          <w:b/>
          <w:bCs/>
        </w:rPr>
        <w:t>сальдо платежного баланса</w:t>
      </w:r>
      <w:r w:rsidRPr="00357DE0">
        <w:t xml:space="preserve"> и, когда оно положительное, говорят о «сильном платежном балансе», когда отрицательное — о «слабом платежном балансе».</w:t>
      </w:r>
    </w:p>
    <w:p w:rsidR="004B624A" w:rsidRPr="00357DE0" w:rsidRDefault="004B624A" w:rsidP="004B624A">
      <w:pPr>
        <w:pStyle w:val="a4"/>
        <w:spacing w:before="0" w:beforeAutospacing="0" w:after="0" w:afterAutospacing="0"/>
        <w:ind w:firstLine="709"/>
        <w:jc w:val="both"/>
      </w:pPr>
      <w:r w:rsidRPr="00357DE0">
        <w:t xml:space="preserve">Исторически существовало несколько подходов к тому, какие именно операции выделять как «уравновешивающие». Согласно рекомендации МВФ, </w:t>
      </w:r>
      <w:r w:rsidRPr="00294CB3">
        <w:rPr>
          <w:b/>
        </w:rPr>
        <w:t>к балансирующим статьям относят</w:t>
      </w:r>
      <w:r w:rsidRPr="00357DE0">
        <w:t>: операции официальных валютных органов с валютными резервами; изменения обязательств официальных валютных органов перед иностранными официальными учреждениями, включая международные организации, распределение СДР.</w:t>
      </w:r>
    </w:p>
    <w:p w:rsidR="004B624A" w:rsidRDefault="004B624A" w:rsidP="004B624A">
      <w:pPr>
        <w:spacing w:after="0" w:line="240" w:lineRule="auto"/>
        <w:jc w:val="both"/>
        <w:rPr>
          <w:rFonts w:ascii="Times New Roman" w:hAnsi="Times New Roman" w:cs="Times New Roman"/>
          <w:sz w:val="24"/>
          <w:szCs w:val="24"/>
        </w:rPr>
      </w:pPr>
    </w:p>
    <w:p w:rsidR="004B624A" w:rsidRPr="00914FE2" w:rsidRDefault="004B624A" w:rsidP="004B624A">
      <w:pPr>
        <w:tabs>
          <w:tab w:val="center" w:pos="4677"/>
          <w:tab w:val="left" w:pos="8360"/>
        </w:tabs>
        <w:spacing w:after="0" w:line="240" w:lineRule="auto"/>
        <w:rPr>
          <w:rFonts w:ascii="Times New Roman" w:hAnsi="Times New Roman" w:cs="Times New Roman"/>
          <w:b/>
          <w:sz w:val="24"/>
          <w:szCs w:val="24"/>
        </w:rPr>
      </w:pPr>
      <w:r>
        <w:rPr>
          <w:rFonts w:ascii="Times New Roman" w:hAnsi="Times New Roman" w:cs="Times New Roman"/>
          <w:b/>
          <w:sz w:val="24"/>
          <w:szCs w:val="24"/>
        </w:rPr>
        <w:tab/>
        <w:t>5.</w:t>
      </w:r>
      <w:r w:rsidRPr="00914FE2">
        <w:rPr>
          <w:rFonts w:ascii="Times New Roman" w:hAnsi="Times New Roman" w:cs="Times New Roman"/>
          <w:b/>
          <w:sz w:val="24"/>
          <w:szCs w:val="24"/>
        </w:rPr>
        <w:t>Конвертируемость национальной валюты</w:t>
      </w:r>
      <w:r>
        <w:rPr>
          <w:rFonts w:ascii="Times New Roman" w:hAnsi="Times New Roman" w:cs="Times New Roman"/>
          <w:b/>
          <w:sz w:val="24"/>
          <w:szCs w:val="24"/>
        </w:rPr>
        <w:t xml:space="preserve"> Украины</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 xml:space="preserve">Дефицит ПБ Украины и низкий курс национальной денежной единицы отображает состояние ее экономической </w:t>
      </w:r>
      <w:proofErr w:type="gramStart"/>
      <w:r w:rsidRPr="00F141FA">
        <w:rPr>
          <w:rFonts w:ascii="Times New Roman" w:eastAsia="Calibri" w:hAnsi="Times New Roman" w:cs="Times New Roman"/>
          <w:sz w:val="24"/>
          <w:szCs w:val="24"/>
        </w:rPr>
        <w:t>системы</w:t>
      </w:r>
      <w:proofErr w:type="gramEnd"/>
      <w:r w:rsidRPr="00F141FA">
        <w:rPr>
          <w:rFonts w:ascii="Times New Roman" w:eastAsia="Calibri" w:hAnsi="Times New Roman" w:cs="Times New Roman"/>
          <w:sz w:val="24"/>
          <w:szCs w:val="24"/>
        </w:rPr>
        <w:t xml:space="preserve"> и свидетельствуют про необходимость проведения  радикальных экономических реформ.</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Важнейшим элементом этого реформирования является стабилизация финансовой системы, а также денежного обращения и кредита путем решения проблемы конвертируемости национальной валюты.</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Конвертируемость или оборотность национальной валюты – это возможность для участников внешнеэкономических операций легально обменивать ее на иностранные валюты и наоборот без прямого вмешательства государства в процесс обмена.</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Конвертируемость национальной валюты, как известно, требует рыночного типа экономики, поскольку она основывается на свободном волеизъявлении всех собственников денежных средств. Более того, рыночная экономика должна быть достаточно зрелой для противостояния иностранной конкуренции, полноправного участия в международном разделении труда.</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 xml:space="preserve">Гривна является неконвертируемой валютой, что, прежде всего, связано с кризисными явлениями национальной экономики, и с затяжным и непоследовательным характером ее реформирования.   </w:t>
      </w:r>
    </w:p>
    <w:p w:rsidR="004B624A" w:rsidRPr="00F141FA" w:rsidRDefault="004B624A" w:rsidP="004B624A">
      <w:pPr>
        <w:spacing w:after="0" w:line="240" w:lineRule="auto"/>
        <w:ind w:firstLine="709"/>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Решение проблемы конвертируемости национальной валюты Украины должно совершаться по следующим направлениям:</w:t>
      </w:r>
    </w:p>
    <w:p w:rsidR="004B624A" w:rsidRPr="00F141FA" w:rsidRDefault="004B624A" w:rsidP="004B624A">
      <w:pPr>
        <w:numPr>
          <w:ilvl w:val="0"/>
          <w:numId w:val="5"/>
        </w:numPr>
        <w:spacing w:after="0" w:line="240" w:lineRule="auto"/>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Создание предпосылок конвертируемости национальной валюты в ходе реформирования экономики Украины (изменение отношений собственности, создание конкурентоспособных производства и отраслей, ориентированных на экспорт, проведения реформы цен, создание достаточных стимулов для привлечения иностранного капитала, обеспечения инфраструктуры денежно-кредитной сферы и т.д.).</w:t>
      </w:r>
    </w:p>
    <w:p w:rsidR="003549C4" w:rsidRPr="00A0152C" w:rsidRDefault="004B624A" w:rsidP="00A0152C">
      <w:pPr>
        <w:numPr>
          <w:ilvl w:val="0"/>
          <w:numId w:val="5"/>
        </w:numPr>
        <w:spacing w:after="0" w:line="240" w:lineRule="auto"/>
        <w:jc w:val="both"/>
        <w:rPr>
          <w:rFonts w:ascii="Times New Roman" w:eastAsia="Calibri" w:hAnsi="Times New Roman" w:cs="Times New Roman"/>
          <w:sz w:val="24"/>
          <w:szCs w:val="24"/>
        </w:rPr>
      </w:pPr>
      <w:r w:rsidRPr="00F141FA">
        <w:rPr>
          <w:rFonts w:ascii="Times New Roman" w:eastAsia="Calibri" w:hAnsi="Times New Roman" w:cs="Times New Roman"/>
          <w:sz w:val="24"/>
          <w:szCs w:val="24"/>
        </w:rPr>
        <w:t>Постепенное изменение валютного режима для стимулирования экономических реформ (этап внутренней конвертируемости – возможность граждан и организаций Украины совершать платежи за границей и покупку иностранной валюты без каких-либо ограничений; этап внешней конвертируемости – возможность свободного перевода и конвертации сре</w:t>
      </w:r>
      <w:proofErr w:type="gramStart"/>
      <w:r w:rsidRPr="00F141FA">
        <w:rPr>
          <w:rFonts w:ascii="Times New Roman" w:eastAsia="Calibri" w:hAnsi="Times New Roman" w:cs="Times New Roman"/>
          <w:sz w:val="24"/>
          <w:szCs w:val="24"/>
        </w:rPr>
        <w:t>дств в д</w:t>
      </w:r>
      <w:proofErr w:type="gramEnd"/>
      <w:r w:rsidRPr="00F141FA">
        <w:rPr>
          <w:rFonts w:ascii="Times New Roman" w:eastAsia="Calibri" w:hAnsi="Times New Roman" w:cs="Times New Roman"/>
          <w:sz w:val="24"/>
          <w:szCs w:val="24"/>
        </w:rPr>
        <w:t>анной валюте на счета иностранных граждан).</w:t>
      </w:r>
    </w:p>
    <w:sectPr w:rsidR="003549C4" w:rsidRPr="00A0152C" w:rsidSect="003549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FA9"/>
    <w:multiLevelType w:val="hybridMultilevel"/>
    <w:tmpl w:val="C4CC5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BB2F04"/>
    <w:multiLevelType w:val="hybridMultilevel"/>
    <w:tmpl w:val="EAAE9696"/>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2E94495"/>
    <w:multiLevelType w:val="hybridMultilevel"/>
    <w:tmpl w:val="9EC2E264"/>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CBA59A8"/>
    <w:multiLevelType w:val="hybridMultilevel"/>
    <w:tmpl w:val="9836C2BE"/>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3F07FBC"/>
    <w:multiLevelType w:val="hybridMultilevel"/>
    <w:tmpl w:val="55063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B624A"/>
    <w:rsid w:val="000B419B"/>
    <w:rsid w:val="00224A56"/>
    <w:rsid w:val="003549C4"/>
    <w:rsid w:val="004B624A"/>
    <w:rsid w:val="00606B6E"/>
    <w:rsid w:val="00A0152C"/>
    <w:rsid w:val="00F44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2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624A"/>
    <w:pPr>
      <w:ind w:left="720"/>
      <w:contextualSpacing/>
    </w:pPr>
  </w:style>
  <w:style w:type="paragraph" w:styleId="a4">
    <w:name w:val="Normal (Web)"/>
    <w:basedOn w:val="a"/>
    <w:uiPriority w:val="99"/>
    <w:unhideWhenUsed/>
    <w:rsid w:val="004B62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ngtext">
    <w:name w:val="long_text"/>
    <w:basedOn w:val="a0"/>
    <w:rsid w:val="004B624A"/>
  </w:style>
  <w:style w:type="character" w:styleId="a5">
    <w:name w:val="Hyperlink"/>
    <w:basedOn w:val="a0"/>
    <w:uiPriority w:val="99"/>
    <w:semiHidden/>
    <w:unhideWhenUsed/>
    <w:rsid w:val="004B624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1875</Words>
  <Characters>10692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Koziavki</dc:creator>
  <cp:keywords/>
  <dc:description/>
  <cp:lastModifiedBy>Koziavki</cp:lastModifiedBy>
  <cp:revision>2</cp:revision>
  <dcterms:created xsi:type="dcterms:W3CDTF">2012-04-20T12:33:00Z</dcterms:created>
  <dcterms:modified xsi:type="dcterms:W3CDTF">2012-04-20T13:12:00Z</dcterms:modified>
</cp:coreProperties>
</file>