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34B" w:rsidRPr="00A21858" w:rsidRDefault="000F634B" w:rsidP="000F63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858">
        <w:rPr>
          <w:rFonts w:ascii="Times New Roman" w:hAnsi="Times New Roman" w:cs="Times New Roman"/>
          <w:b/>
          <w:sz w:val="24"/>
          <w:szCs w:val="24"/>
        </w:rPr>
        <w:t>Тема 9. Международная передача технологий</w:t>
      </w:r>
    </w:p>
    <w:p w:rsidR="000F634B" w:rsidRPr="00A21858" w:rsidRDefault="000F634B" w:rsidP="000F634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858">
        <w:rPr>
          <w:rFonts w:ascii="Times New Roman" w:hAnsi="Times New Roman" w:cs="Times New Roman"/>
          <w:b/>
          <w:sz w:val="24"/>
          <w:szCs w:val="24"/>
        </w:rPr>
        <w:t>Сущность и формы международного технологического обмена</w:t>
      </w:r>
    </w:p>
    <w:p w:rsidR="000F634B" w:rsidRPr="00A21858" w:rsidRDefault="000F634B" w:rsidP="000F634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858">
        <w:rPr>
          <w:rFonts w:ascii="Times New Roman" w:hAnsi="Times New Roman" w:cs="Times New Roman"/>
          <w:b/>
          <w:sz w:val="24"/>
          <w:szCs w:val="24"/>
        </w:rPr>
        <w:t>Международная лицензионная торговля</w:t>
      </w:r>
    </w:p>
    <w:p w:rsidR="000F634B" w:rsidRPr="00A21858" w:rsidRDefault="000F634B" w:rsidP="000F634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858">
        <w:rPr>
          <w:rFonts w:ascii="Times New Roman" w:hAnsi="Times New Roman" w:cs="Times New Roman"/>
          <w:b/>
          <w:sz w:val="24"/>
          <w:szCs w:val="24"/>
        </w:rPr>
        <w:t>Международная торговля инжиниринговыми услугами</w:t>
      </w:r>
    </w:p>
    <w:p w:rsidR="000F634B" w:rsidRPr="00A21858" w:rsidRDefault="000F634B" w:rsidP="000F634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858">
        <w:rPr>
          <w:rFonts w:ascii="Times New Roman" w:hAnsi="Times New Roman" w:cs="Times New Roman"/>
          <w:b/>
          <w:sz w:val="24"/>
          <w:szCs w:val="24"/>
        </w:rPr>
        <w:t>Особенности международного технологического обмена в Украине.</w:t>
      </w:r>
    </w:p>
    <w:p w:rsidR="000F634B" w:rsidRPr="00A21858" w:rsidRDefault="000F634B" w:rsidP="000F63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34B" w:rsidRPr="000E0A4F" w:rsidRDefault="000F634B" w:rsidP="000F634B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858">
        <w:rPr>
          <w:rFonts w:ascii="Times New Roman" w:hAnsi="Times New Roman" w:cs="Times New Roman"/>
          <w:b/>
          <w:sz w:val="24"/>
          <w:szCs w:val="24"/>
        </w:rPr>
        <w:t>Сущность и формы международного технологического обмена</w:t>
      </w:r>
    </w:p>
    <w:p w:rsidR="000F634B" w:rsidRPr="00A21858" w:rsidRDefault="000F634B" w:rsidP="000F634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Под 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>международным технологическим обменом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(трансфертом технологий) понимается совокупность экономических отношений различных стран по поводу передачи научно-технических достижений.</w:t>
      </w:r>
    </w:p>
    <w:p w:rsidR="000F634B" w:rsidRDefault="000F634B" w:rsidP="000F634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Развитие международного рынка технологий (международного технологического обмена) обусловлено ускорением научно-технического прогресса (НТП). Расширение научно-исследовательских и опытно-конструкторских работ (НИОКР) требует огромных финансовых затрат, дорогостоящего оборудования, высококвалифицированных кадров. Это вынуждает фирмы участвовать в международном научно-техническом разделении труда. Быстрое развитие торговли технологиями, научно-техническими знаниями в значительной степени связано с существенными различиями в техническом уровне отдельных стран. В условиях ускорения НТ</w:t>
      </w:r>
      <w:r>
        <w:rPr>
          <w:rFonts w:ascii="Times New Roman" w:eastAsia="Calibri" w:hAnsi="Times New Roman" w:cs="Times New Roman"/>
          <w:sz w:val="24"/>
          <w:szCs w:val="24"/>
        </w:rPr>
        <w:t>П передовая техника и технологии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сконцентрированы в небольшой группе промышленно развитых стран, которые расходуют огромные средства на НИОКР. </w:t>
      </w:r>
    </w:p>
    <w:p w:rsidR="000F634B" w:rsidRPr="00A21858" w:rsidRDefault="000F634B" w:rsidP="000F634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На международном рынке технологий передача технологии осуществляется 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>некоммерческим и коммерческим путем</w:t>
      </w:r>
      <w:r w:rsidRPr="00A2185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F634B" w:rsidRPr="00A21858" w:rsidRDefault="000F634B" w:rsidP="000F634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634B">
        <w:rPr>
          <w:rFonts w:ascii="Times New Roman" w:eastAsia="Calibri" w:hAnsi="Times New Roman" w:cs="Times New Roman"/>
          <w:b/>
          <w:sz w:val="24"/>
          <w:szCs w:val="24"/>
          <w:u w:val="single"/>
        </w:rPr>
        <w:t>Некоммерческими формами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технологического обмена являются:</w:t>
      </w:r>
    </w:p>
    <w:p w:rsidR="000F634B" w:rsidRPr="00A21858" w:rsidRDefault="000F634B" w:rsidP="000F634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технические, научные и профессиональные журналы, патентные издания, периодика и другая специальная литература;</w:t>
      </w:r>
    </w:p>
    <w:p w:rsidR="000F634B" w:rsidRPr="00A21858" w:rsidRDefault="000F634B" w:rsidP="000F634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базы и банки данных;</w:t>
      </w:r>
    </w:p>
    <w:p w:rsidR="000F634B" w:rsidRPr="00A21858" w:rsidRDefault="000F634B" w:rsidP="000F634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международные выставки, ярмарки, симпозиумы, конференции;</w:t>
      </w:r>
    </w:p>
    <w:p w:rsidR="000F634B" w:rsidRPr="00A21858" w:rsidRDefault="000F634B" w:rsidP="000F634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обмен делегациями;</w:t>
      </w:r>
    </w:p>
    <w:p w:rsidR="000F634B" w:rsidRPr="00A21858" w:rsidRDefault="000F634B" w:rsidP="000F634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миграция ученых и специалистов;</w:t>
      </w:r>
    </w:p>
    <w:p w:rsidR="000F634B" w:rsidRPr="00A21858" w:rsidRDefault="000F634B" w:rsidP="000F634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стажировка ученых и специалистов в фирмах, университетах, организациях;</w:t>
      </w:r>
    </w:p>
    <w:p w:rsidR="000F634B" w:rsidRPr="00A21858" w:rsidRDefault="000F634B" w:rsidP="000F634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учеба студентов и аспирантов;</w:t>
      </w:r>
    </w:p>
    <w:p w:rsidR="000F634B" w:rsidRPr="00A21858" w:rsidRDefault="000F634B" w:rsidP="000F634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деятельность международных организаций в сфере науки и техники.</w:t>
      </w:r>
    </w:p>
    <w:p w:rsidR="000F634B" w:rsidRPr="00A21858" w:rsidRDefault="000F634B" w:rsidP="000F634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К формам технологии, подлежащим международному обмену </w:t>
      </w:r>
      <w:r w:rsidRPr="000F634B">
        <w:rPr>
          <w:rFonts w:ascii="Times New Roman" w:eastAsia="Calibri" w:hAnsi="Times New Roman" w:cs="Times New Roman"/>
          <w:b/>
          <w:sz w:val="24"/>
          <w:szCs w:val="24"/>
          <w:u w:val="single"/>
        </w:rPr>
        <w:t>на коммерческой основе,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относятся:</w:t>
      </w:r>
    </w:p>
    <w:p w:rsidR="000F634B" w:rsidRPr="00A21858" w:rsidRDefault="000F634B" w:rsidP="000F634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І. </w:t>
      </w:r>
      <w:r w:rsidRPr="000F634B">
        <w:rPr>
          <w:rFonts w:ascii="Times New Roman" w:eastAsia="Calibri" w:hAnsi="Times New Roman" w:cs="Times New Roman"/>
          <w:b/>
          <w:i/>
          <w:sz w:val="24"/>
          <w:szCs w:val="24"/>
        </w:rPr>
        <w:t>Материальные виды технологий</w:t>
      </w:r>
      <w:r w:rsidRPr="00A2185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F634B" w:rsidRPr="00A21858" w:rsidRDefault="000F634B" w:rsidP="000F63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предприятия «под ключ»;</w:t>
      </w:r>
    </w:p>
    <w:p w:rsidR="000F634B" w:rsidRPr="00A21858" w:rsidRDefault="000F634B" w:rsidP="000F63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технологические линии;</w:t>
      </w:r>
    </w:p>
    <w:p w:rsidR="000F634B" w:rsidRPr="00A21858" w:rsidRDefault="000F634B" w:rsidP="000F63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агрегаты, оборудование, инструменты и др.</w:t>
      </w:r>
    </w:p>
    <w:p w:rsidR="000F634B" w:rsidRPr="00A21858" w:rsidRDefault="000F634B" w:rsidP="000F634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Этот тип технологического обмена связан с прямыми инвестициями в строительство, реконструкцию, модернизацию фирм и производства.</w:t>
      </w:r>
    </w:p>
    <w:p w:rsidR="000F634B" w:rsidRPr="00A21858" w:rsidRDefault="000F634B" w:rsidP="000F634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ІІ. </w:t>
      </w:r>
      <w:r w:rsidRPr="000F634B">
        <w:rPr>
          <w:rFonts w:ascii="Times New Roman" w:eastAsia="Calibri" w:hAnsi="Times New Roman" w:cs="Times New Roman"/>
          <w:b/>
          <w:i/>
          <w:sz w:val="24"/>
          <w:szCs w:val="24"/>
        </w:rPr>
        <w:t>Нематериальные виды технологий</w:t>
      </w:r>
      <w:r w:rsidRPr="00A2185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F634B" w:rsidRPr="00A21858" w:rsidRDefault="000F634B" w:rsidP="000F63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патент – свидетельство, выдаваемое соответствующим государственным учреждением изобретателю, удостоверяющим его монопольное право на использование этого изобретения;</w:t>
      </w:r>
    </w:p>
    <w:p w:rsidR="000F634B" w:rsidRPr="00A21858" w:rsidRDefault="000F634B" w:rsidP="000F63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лицензия – разрешение, выдаваемое владельцем технологии (лицензиаром), защищенной или незащищенной патентом, заинтересованной стороне (лицензиату) на использование этой технологии в течени</w:t>
      </w: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определенного времени и за определенную плату;</w:t>
      </w:r>
    </w:p>
    <w:p w:rsidR="000F634B" w:rsidRPr="00A21858" w:rsidRDefault="000F634B" w:rsidP="000F63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копирайт – эксклюзивное право автора литературного, ауди</w:t>
      </w: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или видеопроизведения на показ и воспроизведение своей работы;</w:t>
      </w:r>
    </w:p>
    <w:p w:rsidR="000F634B" w:rsidRPr="00A21858" w:rsidRDefault="000F634B" w:rsidP="000F63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товарный знак – символ (рисунок, графическое изображение, сочетание букв и т.п.) определенной организации, который используется для индивидуализации производителя </w:t>
      </w: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>товара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>который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не может быть использован другими организациями без официального разрешения владельца;</w:t>
      </w:r>
    </w:p>
    <w:p w:rsidR="000F634B" w:rsidRPr="00A21858" w:rsidRDefault="000F634B" w:rsidP="000F634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«ноу-хау» - предоставление технических знаний, практического опыта технического, коммерческого, управленческого, финансового и иного характера, представляющих коммерческую ценность, применяемые в производстве и профессиональной практике и не обеспеченные патентной защитой.</w:t>
      </w:r>
    </w:p>
    <w:p w:rsidR="000F634B" w:rsidRPr="00A21858" w:rsidRDefault="000F634B" w:rsidP="000F634B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ІІІ. </w:t>
      </w:r>
      <w:r w:rsidRPr="000F634B">
        <w:rPr>
          <w:rFonts w:ascii="Times New Roman" w:eastAsia="Calibri" w:hAnsi="Times New Roman" w:cs="Times New Roman"/>
          <w:b/>
          <w:i/>
          <w:sz w:val="24"/>
          <w:szCs w:val="24"/>
        </w:rPr>
        <w:t>Услуги: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научно-технические, инжиниринговые, консультационные, обучение персонала и др.</w:t>
      </w:r>
    </w:p>
    <w:p w:rsidR="000F634B" w:rsidRPr="00A21858" w:rsidRDefault="000F634B" w:rsidP="000F63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34B" w:rsidRPr="000E0A4F" w:rsidRDefault="000F634B" w:rsidP="000F63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4EC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0E0A4F">
        <w:rPr>
          <w:rFonts w:ascii="Times New Roman" w:hAnsi="Times New Roman" w:cs="Times New Roman"/>
          <w:b/>
          <w:sz w:val="24"/>
          <w:szCs w:val="24"/>
        </w:rPr>
        <w:t>Международная лицензионная торговля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Международная торговля лицензиями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является основным </w:t>
      </w: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>экономическим механизмом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международного технологического обмена и в настоящее время приобрела широкое и быстрое распространение.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0A4F">
        <w:rPr>
          <w:rFonts w:ascii="Times New Roman" w:eastAsia="Calibri" w:hAnsi="Times New Roman" w:cs="Times New Roman"/>
          <w:b/>
          <w:sz w:val="24"/>
          <w:szCs w:val="24"/>
        </w:rPr>
        <w:t>Рост международной торговли лицензиями обусловлен рядом факторов</w:t>
      </w:r>
      <w:r w:rsidR="00E76592">
        <w:rPr>
          <w:rFonts w:ascii="Times New Roman" w:eastAsia="Calibri" w:hAnsi="Times New Roman" w:cs="Times New Roman"/>
          <w:b/>
          <w:sz w:val="24"/>
          <w:szCs w:val="24"/>
        </w:rPr>
        <w:t xml:space="preserve"> (преимущества)</w:t>
      </w:r>
      <w:r w:rsidRPr="00A2185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F634B" w:rsidRPr="00A21858" w:rsidRDefault="000F634B" w:rsidP="000F634B">
      <w:pPr>
        <w:pStyle w:val="a3"/>
        <w:numPr>
          <w:ilvl w:val="0"/>
          <w:numId w:val="6"/>
        </w:numPr>
        <w:tabs>
          <w:tab w:val="num" w:pos="1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коммерческая заинтересованность в осуществлении технологического трансф</w:t>
      </w:r>
      <w:r w:rsidR="00E76592">
        <w:rPr>
          <w:rFonts w:ascii="Times New Roman" w:eastAsia="Calibri" w:hAnsi="Times New Roman" w:cs="Times New Roman"/>
          <w:sz w:val="24"/>
          <w:szCs w:val="24"/>
        </w:rPr>
        <w:t xml:space="preserve">ерта, как со стороны лицензиара, </w:t>
      </w:r>
      <w:r w:rsidRPr="00A21858">
        <w:rPr>
          <w:rFonts w:ascii="Times New Roman" w:eastAsia="Calibri" w:hAnsi="Times New Roman" w:cs="Times New Roman"/>
          <w:sz w:val="24"/>
          <w:szCs w:val="24"/>
        </w:rPr>
        <w:t>так и со стороны лицензиата;</w:t>
      </w:r>
    </w:p>
    <w:p w:rsidR="000F634B" w:rsidRPr="00A21858" w:rsidRDefault="000F634B" w:rsidP="000F634B">
      <w:pPr>
        <w:pStyle w:val="a3"/>
        <w:numPr>
          <w:ilvl w:val="0"/>
          <w:numId w:val="6"/>
        </w:numPr>
        <w:tabs>
          <w:tab w:val="num" w:pos="1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усиление конкурентной борьбы на мировом рынке;</w:t>
      </w:r>
    </w:p>
    <w:p w:rsidR="000F634B" w:rsidRPr="00A21858" w:rsidRDefault="000F634B" w:rsidP="000F634B">
      <w:pPr>
        <w:pStyle w:val="a3"/>
        <w:numPr>
          <w:ilvl w:val="0"/>
          <w:numId w:val="6"/>
        </w:numPr>
        <w:tabs>
          <w:tab w:val="num" w:pos="1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ускорение выпуска на рынок новой продукции;</w:t>
      </w:r>
    </w:p>
    <w:p w:rsidR="000F634B" w:rsidRPr="00A21858" w:rsidRDefault="000F634B" w:rsidP="000F634B">
      <w:pPr>
        <w:pStyle w:val="a3"/>
        <w:numPr>
          <w:ilvl w:val="0"/>
          <w:numId w:val="6"/>
        </w:numPr>
        <w:tabs>
          <w:tab w:val="num" w:pos="1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получения доступа к дополнительным ресурсам;</w:t>
      </w:r>
    </w:p>
    <w:p w:rsidR="000F634B" w:rsidRPr="00A21858" w:rsidRDefault="000F634B" w:rsidP="000F634B">
      <w:pPr>
        <w:pStyle w:val="a3"/>
        <w:numPr>
          <w:ilvl w:val="0"/>
          <w:numId w:val="6"/>
        </w:numPr>
        <w:tabs>
          <w:tab w:val="num" w:pos="1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проникновение и завоевание труднодоступных рынков в странах, где широко используются тарифные и нетарифные барьеры;</w:t>
      </w:r>
    </w:p>
    <w:p w:rsidR="000F634B" w:rsidRPr="00A21858" w:rsidRDefault="000F634B" w:rsidP="000F634B">
      <w:pPr>
        <w:pStyle w:val="a3"/>
        <w:numPr>
          <w:ilvl w:val="0"/>
          <w:numId w:val="6"/>
        </w:numPr>
        <w:tabs>
          <w:tab w:val="num" w:pos="1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страны с ограниченными ресурсами научно-технического развития, участвуя в международном технологическом обмене, имеют возможность занять твердую позицию на мировом рынке без дополнительных затрат;</w:t>
      </w:r>
    </w:p>
    <w:p w:rsidR="00E76592" w:rsidRPr="00E76592" w:rsidRDefault="000F634B" w:rsidP="00E76592">
      <w:pPr>
        <w:pStyle w:val="a3"/>
        <w:numPr>
          <w:ilvl w:val="0"/>
          <w:numId w:val="6"/>
        </w:numPr>
        <w:tabs>
          <w:tab w:val="num" w:pos="1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с помощью лицензий создается реклама отечественной продукции и благодаря этому возрастает спрос на нее в других странах, а также изучаются зарубежные рынки;</w:t>
      </w:r>
    </w:p>
    <w:p w:rsidR="00E76592" w:rsidRPr="00E76592" w:rsidRDefault="000F634B" w:rsidP="00E76592">
      <w:pPr>
        <w:pStyle w:val="a3"/>
        <w:numPr>
          <w:ilvl w:val="0"/>
          <w:numId w:val="6"/>
        </w:numPr>
        <w:tabs>
          <w:tab w:val="num" w:pos="1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592">
        <w:rPr>
          <w:rFonts w:ascii="Times New Roman" w:eastAsia="Calibri" w:hAnsi="Times New Roman" w:cs="Times New Roman"/>
          <w:sz w:val="24"/>
          <w:szCs w:val="24"/>
        </w:rPr>
        <w:t xml:space="preserve">политические и правовые мотивы. </w:t>
      </w:r>
    </w:p>
    <w:p w:rsidR="000F634B" w:rsidRPr="00E76592" w:rsidRDefault="000F634B" w:rsidP="00E765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6592">
        <w:rPr>
          <w:rFonts w:ascii="Times New Roman" w:eastAsia="Calibri" w:hAnsi="Times New Roman" w:cs="Times New Roman"/>
          <w:sz w:val="24"/>
          <w:szCs w:val="24"/>
        </w:rPr>
        <w:t xml:space="preserve">Помимо преимуществ международное лицензирование имеет и </w:t>
      </w:r>
      <w:r w:rsidRPr="00E76592">
        <w:rPr>
          <w:rFonts w:ascii="Times New Roman" w:eastAsia="Calibri" w:hAnsi="Times New Roman" w:cs="Times New Roman"/>
          <w:b/>
          <w:sz w:val="24"/>
          <w:szCs w:val="24"/>
        </w:rPr>
        <w:t>недостатки</w:t>
      </w:r>
      <w:r w:rsidRPr="00E76592">
        <w:rPr>
          <w:rFonts w:ascii="Times New Roman" w:eastAsia="Calibri" w:hAnsi="Times New Roman" w:cs="Times New Roman"/>
          <w:sz w:val="24"/>
          <w:szCs w:val="24"/>
        </w:rPr>
        <w:t>, которые для лицензиара оборачиваются следующим:</w:t>
      </w:r>
    </w:p>
    <w:p w:rsidR="000F634B" w:rsidRPr="00A21858" w:rsidRDefault="000F634B" w:rsidP="000F634B">
      <w:pPr>
        <w:pStyle w:val="a3"/>
        <w:numPr>
          <w:ilvl w:val="0"/>
          <w:numId w:val="7"/>
        </w:numPr>
        <w:tabs>
          <w:tab w:val="num" w:pos="12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ограничение возможностей получения будущих прибылей, связанных с самостоятельным использованием нематериальных активов, вследствие передачи прав на достаточно длительный период;</w:t>
      </w:r>
    </w:p>
    <w:p w:rsidR="00E76592" w:rsidRDefault="000F634B" w:rsidP="000F634B">
      <w:pPr>
        <w:pStyle w:val="a3"/>
        <w:numPr>
          <w:ilvl w:val="0"/>
          <w:numId w:val="7"/>
        </w:numPr>
        <w:tabs>
          <w:tab w:val="num" w:pos="12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6592">
        <w:rPr>
          <w:rFonts w:ascii="Times New Roman" w:eastAsia="Calibri" w:hAnsi="Times New Roman" w:cs="Times New Roman"/>
          <w:sz w:val="24"/>
          <w:szCs w:val="24"/>
        </w:rPr>
        <w:t>потеря контроля над качеством своей продукции и технологии, а также над сохранением репутации своей фирмы в случ</w:t>
      </w:r>
      <w:r w:rsidR="00E76592">
        <w:rPr>
          <w:rFonts w:ascii="Times New Roman" w:eastAsia="Calibri" w:hAnsi="Times New Roman" w:cs="Times New Roman"/>
          <w:sz w:val="24"/>
          <w:szCs w:val="24"/>
        </w:rPr>
        <w:t>ае передачи права другой фирме.</w:t>
      </w:r>
    </w:p>
    <w:p w:rsidR="000F634B" w:rsidRPr="00E76592" w:rsidRDefault="000F634B" w:rsidP="000F634B">
      <w:pPr>
        <w:pStyle w:val="a3"/>
        <w:numPr>
          <w:ilvl w:val="0"/>
          <w:numId w:val="7"/>
        </w:numPr>
        <w:tabs>
          <w:tab w:val="num" w:pos="12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6592">
        <w:rPr>
          <w:rFonts w:ascii="Times New Roman" w:eastAsia="Calibri" w:hAnsi="Times New Roman" w:cs="Times New Roman"/>
          <w:sz w:val="24"/>
          <w:szCs w:val="24"/>
        </w:rPr>
        <w:t>снижение ценности технологий в тех случаях, когда они могут стать широко известными и доступными.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Объектами лицензий являются:</w:t>
      </w:r>
    </w:p>
    <w:p w:rsidR="000F634B" w:rsidRPr="00A21858" w:rsidRDefault="000F634B" w:rsidP="000F634B">
      <w:pPr>
        <w:pStyle w:val="a3"/>
        <w:numPr>
          <w:ilvl w:val="0"/>
          <w:numId w:val="8"/>
        </w:numPr>
        <w:tabs>
          <w:tab w:val="num" w:pos="1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запатентованное изобретение или технологический процесс;</w:t>
      </w:r>
    </w:p>
    <w:p w:rsidR="000F634B" w:rsidRPr="00A21858" w:rsidRDefault="000F634B" w:rsidP="000F634B">
      <w:pPr>
        <w:pStyle w:val="a3"/>
        <w:numPr>
          <w:ilvl w:val="0"/>
          <w:numId w:val="8"/>
        </w:numPr>
        <w:tabs>
          <w:tab w:val="num" w:pos="1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технологические знания и опыт, «ноу-хау»;</w:t>
      </w:r>
    </w:p>
    <w:p w:rsidR="000F634B" w:rsidRPr="00A21858" w:rsidRDefault="00B524ED" w:rsidP="000F634B">
      <w:pPr>
        <w:pStyle w:val="a3"/>
        <w:numPr>
          <w:ilvl w:val="0"/>
          <w:numId w:val="8"/>
        </w:numPr>
        <w:tabs>
          <w:tab w:val="num" w:pos="1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промышленные образцы;</w:t>
      </w:r>
    </w:p>
    <w:p w:rsidR="000F634B" w:rsidRPr="00A21858" w:rsidRDefault="000F634B" w:rsidP="000F634B">
      <w:pPr>
        <w:pStyle w:val="a3"/>
        <w:numPr>
          <w:ilvl w:val="0"/>
          <w:numId w:val="8"/>
        </w:numPr>
        <w:tabs>
          <w:tab w:val="num" w:pos="12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товарный знак.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Лицензии бывают 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>патентные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, т.е. подтверждающие передачу права использования патента без соответствующего «ноу-хау», и 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>беспатентные,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т.е. подтверждающие право использовать «ноу-хау» без патентов на изобретение. </w:t>
      </w:r>
      <w:proofErr w:type="gramEnd"/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По объему передаваемых прав по использованию научно-технических знаний лицензиара различают 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>три вида лицензий</w:t>
      </w:r>
      <w:r w:rsidRPr="00A2185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F634B" w:rsidRPr="00A21858" w:rsidRDefault="000F634B" w:rsidP="000F634B">
      <w:pPr>
        <w:pStyle w:val="a3"/>
        <w:numPr>
          <w:ilvl w:val="0"/>
          <w:numId w:val="9"/>
        </w:numPr>
        <w:tabs>
          <w:tab w:val="num" w:pos="1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ED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простая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, при </w:t>
      </w: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>продаже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которой за лицензиаром остается право самостоятельно использовать объект лицензии, а также предоставлять лицензии на данную технологию и другим лицензиатам на данной территории;</w:t>
      </w:r>
    </w:p>
    <w:p w:rsidR="000F634B" w:rsidRPr="00A21858" w:rsidRDefault="000F634B" w:rsidP="000F634B">
      <w:pPr>
        <w:pStyle w:val="a3"/>
        <w:numPr>
          <w:ilvl w:val="0"/>
          <w:numId w:val="9"/>
        </w:numPr>
        <w:tabs>
          <w:tab w:val="num" w:pos="1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4ED">
        <w:rPr>
          <w:rFonts w:ascii="Times New Roman" w:eastAsia="Calibri" w:hAnsi="Times New Roman" w:cs="Times New Roman"/>
          <w:b/>
          <w:i/>
          <w:sz w:val="24"/>
          <w:szCs w:val="24"/>
        </w:rPr>
        <w:t>исключительная</w:t>
      </w:r>
      <w:r w:rsidRPr="00A21858">
        <w:rPr>
          <w:rFonts w:ascii="Times New Roman" w:eastAsia="Calibri" w:hAnsi="Times New Roman" w:cs="Times New Roman"/>
          <w:sz w:val="24"/>
          <w:szCs w:val="24"/>
        </w:rPr>
        <w:t>, предусматривающая монопольное право лицензиата использовать технологию и отказ лицензиара от самостоятельного использования запатентованных изобретений или «ноу-хау» и их продажи на оговоренной территории;</w:t>
      </w:r>
    </w:p>
    <w:p w:rsidR="000F634B" w:rsidRPr="00A21858" w:rsidRDefault="000F634B" w:rsidP="000F634B">
      <w:pPr>
        <w:pStyle w:val="a3"/>
        <w:numPr>
          <w:ilvl w:val="0"/>
          <w:numId w:val="9"/>
        </w:numPr>
        <w:tabs>
          <w:tab w:val="num" w:pos="12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24ED">
        <w:rPr>
          <w:rFonts w:ascii="Times New Roman" w:eastAsia="Calibri" w:hAnsi="Times New Roman" w:cs="Times New Roman"/>
          <w:b/>
          <w:i/>
          <w:sz w:val="24"/>
          <w:szCs w:val="24"/>
        </w:rPr>
        <w:t>полная</w:t>
      </w:r>
      <w:r w:rsidRPr="00A21858">
        <w:rPr>
          <w:rFonts w:ascii="Times New Roman" w:eastAsia="Calibri" w:hAnsi="Times New Roman" w:cs="Times New Roman"/>
          <w:sz w:val="24"/>
          <w:szCs w:val="24"/>
        </w:rPr>
        <w:t>, предоставляющая лицензиату исключительное право на использование патента или «ноу-хау» в течени</w:t>
      </w: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срока действия соглашения и отказ лицензиара от самостоятельного использования предмета лицензии в течении этого срока.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Лицензия может быть 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>открытой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, если патентом имеет право воспользоваться любое заинтересованное лицо. 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Лицензия бывает 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>принудительной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в случае, если компетентные органы принуждают патентовладельца передать другим лицам право на использование патента.</w:t>
      </w:r>
    </w:p>
    <w:p w:rsidR="000F634B" w:rsidRPr="00B524ED" w:rsidRDefault="000F634B" w:rsidP="00B524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Продажа лицензий осуществляется на основе заключения 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>лицензионного соглашения</w:t>
      </w:r>
      <w:r w:rsidR="00B524ED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A21858">
        <w:rPr>
          <w:rFonts w:ascii="Times New Roman" w:eastAsia="Calibri" w:hAnsi="Times New Roman" w:cs="Times New Roman"/>
          <w:sz w:val="24"/>
          <w:szCs w:val="24"/>
        </w:rPr>
        <w:t>договор</w:t>
      </w:r>
      <w:r w:rsidR="00B524ED">
        <w:rPr>
          <w:rFonts w:ascii="Times New Roman" w:eastAsia="Calibri" w:hAnsi="Times New Roman" w:cs="Times New Roman"/>
          <w:sz w:val="24"/>
          <w:szCs w:val="24"/>
        </w:rPr>
        <w:t>ом</w:t>
      </w:r>
      <w:r w:rsidRPr="00A21858">
        <w:rPr>
          <w:rFonts w:ascii="Times New Roman" w:eastAsia="Calibri" w:hAnsi="Times New Roman" w:cs="Times New Roman"/>
          <w:sz w:val="24"/>
          <w:szCs w:val="24"/>
        </w:rPr>
        <w:t>, в соответствии с которым лицензиар (продавец) предоставляет лицензиату (покупателю) разрешение на использование в определенных пределах своих прав на патенты, «ноу-хау», товарные марки и за определенное вознаграждение.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Одним из наиболее важных и сложных вопросов при продаже и покупке лицензий является определение лицензионных платежей (цены лицензий). 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>Лицензионные платежи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– это определенное вознаграждение лицензиару, выплачиваемое лицензиатом в качестве возмещения за предоставление прав на использование предмета соглашения.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Стоимость лицензии формируется на базе оценки возможной прибыли, получаемой от использования права производить продукцию в результате внедрения изобретения, «ноу-хау», а также продавать продукцию под товарным знаком. При этом учитываются все затраты на приобретение лицензии: ее цена, расходы по освоению производства, сбыту, рекламе и т.д.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4ED">
        <w:rPr>
          <w:rFonts w:ascii="Times New Roman" w:eastAsia="Calibri" w:hAnsi="Times New Roman" w:cs="Times New Roman"/>
          <w:b/>
          <w:sz w:val="24"/>
          <w:szCs w:val="24"/>
        </w:rPr>
        <w:t>Формы лицензионных вознаграждений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бывают различные. В зависимости от  метода подсчета они подразделяются на две группы.</w:t>
      </w:r>
    </w:p>
    <w:p w:rsidR="000F634B" w:rsidRDefault="000F634B" w:rsidP="000F6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24ED">
        <w:rPr>
          <w:rFonts w:ascii="Times New Roman" w:eastAsia="Calibri" w:hAnsi="Times New Roman" w:cs="Times New Roman"/>
          <w:b/>
          <w:sz w:val="24"/>
          <w:szCs w:val="24"/>
          <w:u w:val="single"/>
        </w:rPr>
        <w:t>К первой группе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относятся вознаграждения, размер которых подсчитывается на базе фактического экономического результат</w:t>
      </w:r>
      <w:r w:rsidR="00B524ED">
        <w:rPr>
          <w:rFonts w:ascii="Times New Roman" w:eastAsia="Calibri" w:hAnsi="Times New Roman" w:cs="Times New Roman"/>
          <w:sz w:val="24"/>
          <w:szCs w:val="24"/>
        </w:rPr>
        <w:t>а использования лицензии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24ED">
        <w:rPr>
          <w:rFonts w:ascii="Times New Roman" w:eastAsia="Calibri" w:hAnsi="Times New Roman" w:cs="Times New Roman"/>
          <w:sz w:val="24"/>
          <w:szCs w:val="24"/>
        </w:rPr>
        <w:t>(</w:t>
      </w:r>
      <w:r w:rsidRPr="00A21858">
        <w:rPr>
          <w:rFonts w:ascii="Times New Roman" w:eastAsia="Calibri" w:hAnsi="Times New Roman" w:cs="Times New Roman"/>
          <w:sz w:val="24"/>
          <w:szCs w:val="24"/>
        </w:rPr>
        <w:t>периодические процентные отчисления и участие в прибыли лицензиата</w:t>
      </w:r>
      <w:r w:rsidR="00B524ED">
        <w:rPr>
          <w:rFonts w:ascii="Times New Roman" w:eastAsia="Calibri" w:hAnsi="Times New Roman" w:cs="Times New Roman"/>
          <w:sz w:val="24"/>
          <w:szCs w:val="24"/>
        </w:rPr>
        <w:t>)</w:t>
      </w:r>
      <w:r w:rsidRPr="00A2185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524ED" w:rsidRPr="00A21858" w:rsidRDefault="00B524ED" w:rsidP="00B524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4ED">
        <w:rPr>
          <w:rFonts w:ascii="Times New Roman" w:eastAsia="Calibri" w:hAnsi="Times New Roman" w:cs="Times New Roman"/>
          <w:b/>
          <w:sz w:val="24"/>
          <w:szCs w:val="24"/>
        </w:rPr>
        <w:t xml:space="preserve">Периодические 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 xml:space="preserve">процентные отчисления, или текущие отчисления («роялти») </w:t>
      </w:r>
      <w:r w:rsidRPr="00A21858">
        <w:rPr>
          <w:rFonts w:ascii="Times New Roman" w:eastAsia="Calibri" w:hAnsi="Times New Roman" w:cs="Times New Roman"/>
          <w:sz w:val="24"/>
          <w:szCs w:val="24"/>
        </w:rPr>
        <w:t>устанавливаются в виде определенных фиксированных ставок (в процентах) и выплачиваются лицензиатом через определенные согласованные промежутки времени (ежегодно, ежеквартально, ежемесячно или к определенной дате).</w:t>
      </w:r>
    </w:p>
    <w:p w:rsidR="00B524ED" w:rsidRPr="00B524ED" w:rsidRDefault="00B524ED" w:rsidP="00B52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Участие в прибыли лицензиата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как форма лицензионного вознаграждения означает отчисление в пользу лицензиата определенной части (процента) прибыли, полученной лицензиатом благодаря использованию данной лицензии. 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4ED">
        <w:rPr>
          <w:rFonts w:ascii="Times New Roman" w:eastAsia="Calibri" w:hAnsi="Times New Roman" w:cs="Times New Roman"/>
          <w:b/>
          <w:sz w:val="24"/>
          <w:szCs w:val="24"/>
          <w:u w:val="single"/>
        </w:rPr>
        <w:t>Ко второй группе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относятся вознаграждения, размер которых непосредственно не связан с фактическим использованием лицензии, а заранее устанавливается и указывается в договоре, исходя из оценок возможного экономического эффекта и ожидаемых прибылей лицензиата </w:t>
      </w:r>
      <w:r w:rsidR="00B524ED">
        <w:rPr>
          <w:rFonts w:ascii="Times New Roman" w:eastAsia="Calibri" w:hAnsi="Times New Roman" w:cs="Times New Roman"/>
          <w:sz w:val="24"/>
          <w:szCs w:val="24"/>
        </w:rPr>
        <w:t xml:space="preserve">на базе использования лицензии (паушальный платеж, </w:t>
      </w:r>
      <w:r w:rsidRPr="00A21858">
        <w:rPr>
          <w:rFonts w:ascii="Times New Roman" w:eastAsia="Calibri" w:hAnsi="Times New Roman" w:cs="Times New Roman"/>
          <w:sz w:val="24"/>
          <w:szCs w:val="24"/>
        </w:rPr>
        <w:t>п</w:t>
      </w:r>
      <w:r w:rsidR="00B524ED">
        <w:rPr>
          <w:rFonts w:ascii="Times New Roman" w:eastAsia="Calibri" w:hAnsi="Times New Roman" w:cs="Times New Roman"/>
          <w:sz w:val="24"/>
          <w:szCs w:val="24"/>
        </w:rPr>
        <w:t>ервоначальный платеж наличными</w:t>
      </w:r>
      <w:r w:rsidRPr="00A21858">
        <w:rPr>
          <w:rFonts w:ascii="Times New Roman" w:eastAsia="Calibri" w:hAnsi="Times New Roman" w:cs="Times New Roman"/>
          <w:sz w:val="24"/>
          <w:szCs w:val="24"/>
        </w:rPr>
        <w:t>, передача ценных бумаг лицензиата, передача встречной технической документации</w:t>
      </w:r>
      <w:r w:rsidR="00B524ED">
        <w:rPr>
          <w:rFonts w:ascii="Times New Roman" w:eastAsia="Calibri" w:hAnsi="Times New Roman" w:cs="Times New Roman"/>
          <w:sz w:val="24"/>
          <w:szCs w:val="24"/>
        </w:rPr>
        <w:t>)</w:t>
      </w:r>
      <w:r w:rsidRPr="00A2185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Паушальный платеж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– это определенная, твердо зафиксированная в соглашении сумма лицензионного вознаграждения.</w:t>
      </w:r>
    </w:p>
    <w:p w:rsidR="00B524ED" w:rsidRDefault="000F634B" w:rsidP="000F6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Первоначальный платеж наличными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предусматривает оплату лицензиатом определенной установленной  в соглашении суммы в виде единовременного взноса или по частям в течение установленного в соглашении срока или </w:t>
      </w: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выполнении определенных условий</w:t>
      </w:r>
      <w:r w:rsidR="00B524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Передача технической документации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как форма платежа получила распространение у японских компаний. Она предусматривает взаимное предоставление лицензий и в большинстве случаев применяется в сочетании с другими формами вознаграждения.</w:t>
      </w:r>
    </w:p>
    <w:p w:rsidR="000F634B" w:rsidRPr="00A21858" w:rsidRDefault="000F634B" w:rsidP="000F63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34B" w:rsidRPr="000E0A4F" w:rsidRDefault="000F634B" w:rsidP="000F63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0E0A4F">
        <w:rPr>
          <w:rFonts w:ascii="Times New Roman" w:hAnsi="Times New Roman" w:cs="Times New Roman"/>
          <w:b/>
          <w:sz w:val="24"/>
          <w:szCs w:val="24"/>
        </w:rPr>
        <w:t>Международная торговля инжиниринговыми услугами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Инжиниринг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– это комплекс инженерно-консультационных услуг по использованию технологических и иных научно-технических разработок.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Сущность международной торговли инжиниринговыми услугами заключается в предоставлении одной стороной другой на основе договоров коммерческих инженерно-расчетных, консультационных, инженерно-строительных услуг </w:t>
      </w: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F634B" w:rsidRPr="00A21858" w:rsidRDefault="000F634B" w:rsidP="000F634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подготовке производства:</w:t>
      </w:r>
    </w:p>
    <w:p w:rsidR="000F634B" w:rsidRPr="00A21858" w:rsidRDefault="000F634B" w:rsidP="000F634B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proofErr w:type="spellStart"/>
      <w:r w:rsidRPr="00A21858">
        <w:rPr>
          <w:rFonts w:ascii="Times New Roman" w:eastAsia="Calibri" w:hAnsi="Times New Roman" w:cs="Times New Roman"/>
          <w:sz w:val="24"/>
          <w:szCs w:val="24"/>
        </w:rPr>
        <w:t>предпроектные</w:t>
      </w:r>
      <w:proofErr w:type="spellEnd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услуги (подготовка технико-экономических обоснований</w:t>
      </w:r>
      <w:r w:rsidR="0030576A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0F634B" w:rsidRPr="00A21858" w:rsidRDefault="0030576A" w:rsidP="000F634B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</w:t>
      </w:r>
      <w:r w:rsidR="000F634B" w:rsidRPr="00A21858">
        <w:rPr>
          <w:rFonts w:ascii="Times New Roman" w:eastAsia="Calibri" w:hAnsi="Times New Roman" w:cs="Times New Roman"/>
          <w:sz w:val="24"/>
          <w:szCs w:val="24"/>
        </w:rPr>
        <w:t xml:space="preserve"> проектные услуги (составление генеральных планов, </w:t>
      </w:r>
      <w:r>
        <w:rPr>
          <w:rFonts w:ascii="Times New Roman" w:eastAsia="Calibri" w:hAnsi="Times New Roman" w:cs="Times New Roman"/>
          <w:sz w:val="24"/>
          <w:szCs w:val="24"/>
        </w:rPr>
        <w:t>схем, рабочих чертежей);</w:t>
      </w:r>
    </w:p>
    <w:p w:rsidR="000F634B" w:rsidRPr="00A21858" w:rsidRDefault="000F634B" w:rsidP="000F634B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 w:rsidRPr="00A21858">
        <w:rPr>
          <w:rFonts w:ascii="Times New Roman" w:eastAsia="Calibri" w:hAnsi="Times New Roman" w:cs="Times New Roman"/>
          <w:sz w:val="24"/>
          <w:szCs w:val="24"/>
        </w:rPr>
        <w:t>послепроектные</w:t>
      </w:r>
      <w:proofErr w:type="spellEnd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услуги (подготовка контрактной документации, надзор за осуществлением работ</w:t>
      </w:r>
      <w:r w:rsidR="0030576A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F634B" w:rsidRPr="00A21858" w:rsidRDefault="000F634B" w:rsidP="000F634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обеспечению процесса производства (услуги по организации процесса производства, управлению предприятием, обучению персонала);</w:t>
      </w:r>
    </w:p>
    <w:p w:rsidR="000F634B" w:rsidRPr="00A21858" w:rsidRDefault="000F634B" w:rsidP="000F634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обеспечению реализации продукции;</w:t>
      </w:r>
    </w:p>
    <w:p w:rsidR="000F634B" w:rsidRPr="00A21858" w:rsidRDefault="000F634B" w:rsidP="000F634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обслуживанию строительства и эксплуатации промышленных, инфраструктурных, сельскохозяйственных и других объектов.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Все эти услуги носят интеллектуальный характер и направлены на оптимизацию инвестиционных проектов на всех этапах их реализации.</w:t>
      </w:r>
    </w:p>
    <w:p w:rsidR="000F634B" w:rsidRPr="00A21858" w:rsidRDefault="000F634B" w:rsidP="000F634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Основными факторами, влияющими на развитие международного рынка инжиниринговых услуг, являются</w:t>
      </w:r>
      <w:r w:rsidRPr="00A2185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F634B" w:rsidRPr="00A21858" w:rsidRDefault="000F634B" w:rsidP="000F63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ускорение научно-технического про</w:t>
      </w:r>
      <w:r w:rsidR="0030576A">
        <w:rPr>
          <w:rFonts w:ascii="Times New Roman" w:eastAsia="Calibri" w:hAnsi="Times New Roman" w:cs="Times New Roman"/>
          <w:sz w:val="24"/>
          <w:szCs w:val="24"/>
        </w:rPr>
        <w:t>гресса</w:t>
      </w:r>
      <w:r w:rsidRPr="00A2185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F634B" w:rsidRPr="00A21858" w:rsidRDefault="000F634B" w:rsidP="000F63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рост объема госуд</w:t>
      </w:r>
      <w:r w:rsidR="0030576A">
        <w:rPr>
          <w:rFonts w:ascii="Times New Roman" w:eastAsia="Calibri" w:hAnsi="Times New Roman" w:cs="Times New Roman"/>
          <w:sz w:val="24"/>
          <w:szCs w:val="24"/>
        </w:rPr>
        <w:t>арственных и частных инвестиций</w:t>
      </w:r>
      <w:r w:rsidRPr="00A2185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F634B" w:rsidRPr="00A21858" w:rsidRDefault="000F634B" w:rsidP="000F63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наличие свободного капитала, размещаемого на рынке инжиниринговых услуг;</w:t>
      </w:r>
    </w:p>
    <w:p w:rsidR="000F634B" w:rsidRPr="00A21858" w:rsidRDefault="000F634B" w:rsidP="000F63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высокий спрос на инжиниринговые услуги со стороны стран, вступивших на путь самостоятельного экономического развития и не имеющих необходимого опыта и кадров специалистов для разведки и разработки своих природных ресурсов, развити</w:t>
      </w:r>
      <w:r w:rsidR="0030576A">
        <w:rPr>
          <w:rFonts w:ascii="Times New Roman" w:eastAsia="Calibri" w:hAnsi="Times New Roman" w:cs="Times New Roman"/>
          <w:sz w:val="24"/>
          <w:szCs w:val="24"/>
        </w:rPr>
        <w:t>я топливно-энергетической базы</w:t>
      </w:r>
      <w:r w:rsidRPr="00A2185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0576A" w:rsidRDefault="000F634B" w:rsidP="000F63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576A">
        <w:rPr>
          <w:rFonts w:ascii="Times New Roman" w:eastAsia="Calibri" w:hAnsi="Times New Roman" w:cs="Times New Roman"/>
          <w:sz w:val="24"/>
          <w:szCs w:val="24"/>
        </w:rPr>
        <w:t xml:space="preserve">стремление крупных ТНК к внешнеэкономической экспансии, т.е. расширению сфер влияния. </w:t>
      </w:r>
    </w:p>
    <w:p w:rsidR="000F634B" w:rsidRPr="0030576A" w:rsidRDefault="000F634B" w:rsidP="000F63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576A">
        <w:rPr>
          <w:rFonts w:ascii="Times New Roman" w:eastAsia="Calibri" w:hAnsi="Times New Roman" w:cs="Times New Roman"/>
          <w:sz w:val="24"/>
          <w:szCs w:val="24"/>
        </w:rPr>
        <w:t>увеличение числа крупных инженерных фирм с большими оборотами и широкой сферой деятельности, создание национальных и международных ассоциаций инженерных фирм, способствующих развитию инжиниринга.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Рынок инжиниринговых услуг условно делится на рынок инженерно-консультационных услуг и рынок инженерно-строительных услуг</w:t>
      </w:r>
      <w:r w:rsidRPr="00A21858">
        <w:rPr>
          <w:rFonts w:ascii="Times New Roman" w:eastAsia="Calibri" w:hAnsi="Times New Roman" w:cs="Times New Roman"/>
          <w:sz w:val="24"/>
          <w:szCs w:val="24"/>
        </w:rPr>
        <w:t>. Это обусловило деление фирм, компаний, занимающихся оказанием инжиниринговых услуг, на инженерно-консультационные и инженерно-строительные, т.е. имеют место специализированные фирмы.</w:t>
      </w:r>
    </w:p>
    <w:p w:rsidR="0030576A" w:rsidRDefault="000F634B" w:rsidP="000F6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Инженерно-консультационные фирмы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предоставляют технические услуги в форме консультаций. Сферой их деятельности является гражданское строительство (порты, аэр</w:t>
      </w:r>
      <w:r w:rsidR="0030576A">
        <w:rPr>
          <w:rFonts w:ascii="Times New Roman" w:eastAsia="Calibri" w:hAnsi="Times New Roman" w:cs="Times New Roman"/>
          <w:sz w:val="24"/>
          <w:szCs w:val="24"/>
        </w:rPr>
        <w:t>одромы, транспортные магистрали)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и промышленные объекты, использующие специфические технологические процессы. 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Инженерно-строительные фирмы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предоставляют полный комплекс услуг: проектирование объекта, поставка оборудования, монтаж, наладка и п</w:t>
      </w:r>
      <w:r w:rsidR="0030576A">
        <w:rPr>
          <w:rFonts w:ascii="Times New Roman" w:eastAsia="Calibri" w:hAnsi="Times New Roman" w:cs="Times New Roman"/>
          <w:sz w:val="24"/>
          <w:szCs w:val="24"/>
        </w:rPr>
        <w:t>уск оборудования в эксплуатации</w:t>
      </w:r>
      <w:r w:rsidRPr="00A21858">
        <w:rPr>
          <w:rFonts w:ascii="Times New Roman" w:eastAsia="Calibri" w:hAnsi="Times New Roman" w:cs="Times New Roman"/>
          <w:sz w:val="24"/>
          <w:szCs w:val="24"/>
        </w:rPr>
        <w:t>. Эти фирмы, как правило, выполняют функции генерального подрядчика, а в качестве субподрядчиков выступают машиностроительные и строительные компании.</w:t>
      </w:r>
    </w:p>
    <w:p w:rsidR="000F634B" w:rsidRDefault="000F634B" w:rsidP="000F63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76A" w:rsidRPr="00A21858" w:rsidRDefault="0030576A" w:rsidP="000F63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34B" w:rsidRPr="00A21858" w:rsidRDefault="000F634B" w:rsidP="000F63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Pr="000E0A4F">
        <w:rPr>
          <w:rFonts w:ascii="Times New Roman" w:hAnsi="Times New Roman" w:cs="Times New Roman"/>
          <w:b/>
          <w:sz w:val="24"/>
          <w:szCs w:val="24"/>
        </w:rPr>
        <w:t>Особенности международного технологического обмена в Украине.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Style w:val="hps"/>
          <w:rFonts w:ascii="Times New Roman" w:hAnsi="Times New Roman" w:cs="Times New Roman"/>
          <w:sz w:val="24"/>
          <w:szCs w:val="24"/>
        </w:rPr>
        <w:t>В Украине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к товарам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высокотехнологичного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экспорта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относятся</w:t>
      </w:r>
      <w:r w:rsidR="00BD4B7D">
        <w:rPr>
          <w:rFonts w:ascii="Times New Roman" w:hAnsi="Times New Roman" w:cs="Times New Roman"/>
          <w:sz w:val="24"/>
          <w:szCs w:val="24"/>
        </w:rPr>
        <w:t>:</w:t>
      </w:r>
    </w:p>
    <w:p w:rsidR="000F634B" w:rsidRPr="00A21858" w:rsidRDefault="000F634B" w:rsidP="000F63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Style w:val="hps"/>
          <w:rFonts w:ascii="Times New Roman" w:hAnsi="Times New Roman" w:cs="Times New Roman"/>
          <w:sz w:val="24"/>
          <w:szCs w:val="24"/>
        </w:rPr>
        <w:t>машины и оборудование</w:t>
      </w:r>
      <w:r w:rsidRPr="00A21858">
        <w:rPr>
          <w:rFonts w:ascii="Times New Roman" w:hAnsi="Times New Roman" w:cs="Times New Roman"/>
          <w:sz w:val="24"/>
          <w:szCs w:val="24"/>
        </w:rPr>
        <w:t>;</w:t>
      </w:r>
    </w:p>
    <w:p w:rsidR="000F634B" w:rsidRPr="00A21858" w:rsidRDefault="000F634B" w:rsidP="000F63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Style w:val="hps"/>
          <w:rFonts w:ascii="Times New Roman" w:hAnsi="Times New Roman" w:cs="Times New Roman"/>
          <w:sz w:val="24"/>
          <w:szCs w:val="24"/>
        </w:rPr>
        <w:t>электрические машины</w:t>
      </w:r>
      <w:r w:rsidRPr="00A21858">
        <w:rPr>
          <w:rFonts w:ascii="Times New Roman" w:hAnsi="Times New Roman" w:cs="Times New Roman"/>
          <w:sz w:val="24"/>
          <w:szCs w:val="24"/>
        </w:rPr>
        <w:t>;</w:t>
      </w:r>
    </w:p>
    <w:p w:rsidR="000F634B" w:rsidRPr="00A21858" w:rsidRDefault="000F634B" w:rsidP="000F63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Style w:val="hps"/>
          <w:rFonts w:ascii="Times New Roman" w:hAnsi="Times New Roman" w:cs="Times New Roman"/>
          <w:sz w:val="24"/>
          <w:szCs w:val="24"/>
        </w:rPr>
        <w:t>локомотивы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железнодорожные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подвижной состав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трамваи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и проч.</w:t>
      </w:r>
      <w:r w:rsidRPr="00A21858">
        <w:rPr>
          <w:rFonts w:ascii="Times New Roman" w:hAnsi="Times New Roman" w:cs="Times New Roman"/>
          <w:sz w:val="24"/>
          <w:szCs w:val="24"/>
        </w:rPr>
        <w:t>;</w:t>
      </w:r>
    </w:p>
    <w:p w:rsidR="000F634B" w:rsidRPr="00A21858" w:rsidRDefault="000F634B" w:rsidP="000F63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Style w:val="hps"/>
          <w:rFonts w:ascii="Times New Roman" w:hAnsi="Times New Roman" w:cs="Times New Roman"/>
          <w:sz w:val="24"/>
          <w:szCs w:val="24"/>
        </w:rPr>
        <w:t>средства наземного транспорта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21858">
        <w:rPr>
          <w:rStyle w:val="hps"/>
          <w:rFonts w:ascii="Times New Roman" w:hAnsi="Times New Roman" w:cs="Times New Roman"/>
          <w:sz w:val="24"/>
          <w:szCs w:val="24"/>
        </w:rPr>
        <w:t>кроме</w:t>
      </w:r>
      <w:proofErr w:type="gramEnd"/>
      <w:r w:rsidRPr="00A21858">
        <w:rPr>
          <w:rStyle w:val="hps"/>
          <w:rFonts w:ascii="Times New Roman" w:hAnsi="Times New Roman" w:cs="Times New Roman"/>
          <w:sz w:val="24"/>
          <w:szCs w:val="24"/>
        </w:rPr>
        <w:t xml:space="preserve"> железнодорожного</w:t>
      </w:r>
      <w:r w:rsidRPr="00A21858">
        <w:rPr>
          <w:rFonts w:ascii="Times New Roman" w:hAnsi="Times New Roman" w:cs="Times New Roman"/>
          <w:sz w:val="24"/>
          <w:szCs w:val="24"/>
        </w:rPr>
        <w:t>;</w:t>
      </w:r>
    </w:p>
    <w:p w:rsidR="000F634B" w:rsidRPr="00A21858" w:rsidRDefault="000F634B" w:rsidP="000F63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Style w:val="hps"/>
          <w:rFonts w:ascii="Times New Roman" w:hAnsi="Times New Roman" w:cs="Times New Roman"/>
          <w:sz w:val="24"/>
          <w:szCs w:val="24"/>
        </w:rPr>
        <w:t>летательные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космические аппараты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их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части</w:t>
      </w:r>
      <w:r w:rsidRPr="00A21858">
        <w:rPr>
          <w:rFonts w:ascii="Times New Roman" w:hAnsi="Times New Roman" w:cs="Times New Roman"/>
          <w:sz w:val="24"/>
          <w:szCs w:val="24"/>
        </w:rPr>
        <w:t>;</w:t>
      </w:r>
    </w:p>
    <w:p w:rsidR="000F634B" w:rsidRPr="00A21858" w:rsidRDefault="000F634B" w:rsidP="000F63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Style w:val="hps"/>
          <w:rFonts w:ascii="Times New Roman" w:hAnsi="Times New Roman" w:cs="Times New Roman"/>
          <w:sz w:val="24"/>
          <w:szCs w:val="24"/>
        </w:rPr>
        <w:t>суда, лодки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другие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плавучие средства</w:t>
      </w:r>
      <w:r w:rsidRPr="00A21858">
        <w:rPr>
          <w:rFonts w:ascii="Times New Roman" w:hAnsi="Times New Roman" w:cs="Times New Roman"/>
          <w:sz w:val="24"/>
          <w:szCs w:val="24"/>
        </w:rPr>
        <w:t>;</w:t>
      </w:r>
    </w:p>
    <w:p w:rsidR="000F634B" w:rsidRPr="00A21858" w:rsidRDefault="000F634B" w:rsidP="000F63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Style w:val="hps"/>
          <w:rFonts w:ascii="Times New Roman" w:hAnsi="Times New Roman" w:cs="Times New Roman"/>
          <w:sz w:val="24"/>
          <w:szCs w:val="24"/>
        </w:rPr>
        <w:t>приборы</w:t>
      </w:r>
      <w:r w:rsidRPr="00A21858">
        <w:rPr>
          <w:rFonts w:ascii="Times New Roman" w:hAnsi="Times New Roman" w:cs="Times New Roman"/>
          <w:sz w:val="24"/>
          <w:szCs w:val="24"/>
        </w:rPr>
        <w:t>.</w:t>
      </w:r>
    </w:p>
    <w:p w:rsidR="00BD4B7D" w:rsidRDefault="000F634B" w:rsidP="000F634B">
      <w:pPr>
        <w:spacing w:after="0" w:line="240" w:lineRule="auto"/>
        <w:ind w:firstLine="709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A21858">
        <w:rPr>
          <w:rStyle w:val="hps"/>
          <w:rFonts w:ascii="Times New Roman" w:hAnsi="Times New Roman" w:cs="Times New Roman"/>
          <w:sz w:val="24"/>
          <w:szCs w:val="24"/>
        </w:rPr>
        <w:t>Отсутствие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отдельных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отечественных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наукоемких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товаров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компенсируется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за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счет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импорта</w:t>
      </w:r>
      <w:r w:rsidRPr="00A218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украинском рынке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технологических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услуг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 xml:space="preserve">выделяются </w:t>
      </w:r>
      <w:r w:rsidRPr="00BD4B7D">
        <w:rPr>
          <w:rStyle w:val="hps"/>
          <w:rFonts w:ascii="Times New Roman" w:hAnsi="Times New Roman" w:cs="Times New Roman"/>
          <w:b/>
          <w:sz w:val="24"/>
          <w:szCs w:val="24"/>
        </w:rPr>
        <w:t>четыре</w:t>
      </w:r>
      <w:r w:rsidRPr="00BD4B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B7D">
        <w:rPr>
          <w:rStyle w:val="hps"/>
          <w:rFonts w:ascii="Times New Roman" w:hAnsi="Times New Roman" w:cs="Times New Roman"/>
          <w:b/>
          <w:sz w:val="24"/>
          <w:szCs w:val="24"/>
        </w:rPr>
        <w:t>группы</w:t>
      </w:r>
      <w:r w:rsidRPr="00BD4B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B7D">
        <w:rPr>
          <w:rStyle w:val="hps"/>
          <w:rFonts w:ascii="Times New Roman" w:hAnsi="Times New Roman" w:cs="Times New Roman"/>
          <w:b/>
          <w:sz w:val="24"/>
          <w:szCs w:val="24"/>
        </w:rPr>
        <w:t>услуг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 xml:space="preserve"> по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обобщенной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классификации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услуг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внешнеэкономической деятельности</w:t>
      </w:r>
      <w:r w:rsidRPr="00A21858">
        <w:rPr>
          <w:rFonts w:ascii="Times New Roman" w:hAnsi="Times New Roman" w:cs="Times New Roman"/>
          <w:sz w:val="24"/>
          <w:szCs w:val="24"/>
        </w:rPr>
        <w:t xml:space="preserve">: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компьютерные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услуги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роялти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и лицензионные платежи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научно</w:t>
      </w:r>
      <w:r w:rsidRPr="00A21858">
        <w:rPr>
          <w:rStyle w:val="atn"/>
          <w:rFonts w:ascii="Times New Roman" w:hAnsi="Times New Roman" w:cs="Times New Roman"/>
          <w:sz w:val="24"/>
          <w:szCs w:val="24"/>
        </w:rPr>
        <w:t>-</w:t>
      </w:r>
      <w:r w:rsidRPr="00A21858">
        <w:rPr>
          <w:rFonts w:ascii="Times New Roman" w:hAnsi="Times New Roman" w:cs="Times New Roman"/>
          <w:sz w:val="24"/>
          <w:szCs w:val="24"/>
        </w:rPr>
        <w:t>исследовательские и опытно</w:t>
      </w:r>
      <w:r w:rsidRPr="00A21858">
        <w:rPr>
          <w:rStyle w:val="atn"/>
          <w:rFonts w:ascii="Times New Roman" w:hAnsi="Times New Roman" w:cs="Times New Roman"/>
          <w:sz w:val="24"/>
          <w:szCs w:val="24"/>
        </w:rPr>
        <w:t>-</w:t>
      </w:r>
      <w:r w:rsidRPr="00A21858">
        <w:rPr>
          <w:rFonts w:ascii="Times New Roman" w:hAnsi="Times New Roman" w:cs="Times New Roman"/>
          <w:sz w:val="24"/>
          <w:szCs w:val="24"/>
        </w:rPr>
        <w:t xml:space="preserve">конструкторские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услуги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услуги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архитектурных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инженерных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и других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технических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областях</w:t>
      </w:r>
      <w:r w:rsidRPr="00A21858">
        <w:rPr>
          <w:rFonts w:ascii="Times New Roman" w:hAnsi="Times New Roman" w:cs="Times New Roman"/>
          <w:sz w:val="24"/>
          <w:szCs w:val="24"/>
        </w:rPr>
        <w:t>.</w:t>
      </w:r>
    </w:p>
    <w:p w:rsidR="00BD4B7D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Украине в последние годы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наблюдается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активизация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лицензионной торговли</w:t>
      </w:r>
      <w:r w:rsidRPr="00A21858">
        <w:rPr>
          <w:rFonts w:ascii="Times New Roman" w:hAnsi="Times New Roman" w:cs="Times New Roman"/>
          <w:sz w:val="24"/>
          <w:szCs w:val="24"/>
        </w:rPr>
        <w:t xml:space="preserve">.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Подавляющее большинство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закупленных в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зарубежных странах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лицензий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имеет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технологический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характер</w:t>
      </w:r>
      <w:r w:rsidR="00BD4B7D">
        <w:rPr>
          <w:rFonts w:ascii="Times New Roman" w:hAnsi="Times New Roman" w:cs="Times New Roman"/>
          <w:sz w:val="24"/>
          <w:szCs w:val="24"/>
        </w:rPr>
        <w:t>.</w:t>
      </w: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Style w:val="hps"/>
          <w:rFonts w:ascii="Times New Roman" w:hAnsi="Times New Roman" w:cs="Times New Roman"/>
          <w:sz w:val="24"/>
          <w:szCs w:val="24"/>
        </w:rPr>
        <w:t>Количество проданных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лицензий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объекты интеллектуальной собственности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также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растет</w:t>
      </w:r>
      <w:r w:rsidRPr="00A21858">
        <w:rPr>
          <w:rFonts w:ascii="Times New Roman" w:hAnsi="Times New Roman" w:cs="Times New Roman"/>
          <w:sz w:val="24"/>
          <w:szCs w:val="24"/>
        </w:rPr>
        <w:t xml:space="preserve">.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Основным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лицензиатом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Украины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является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Россия</w:t>
      </w:r>
      <w:r w:rsidRPr="00A21858">
        <w:rPr>
          <w:rFonts w:ascii="Times New Roman" w:hAnsi="Times New Roman" w:cs="Times New Roman"/>
          <w:sz w:val="24"/>
          <w:szCs w:val="24"/>
        </w:rPr>
        <w:t xml:space="preserve">.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Продают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лицензии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также в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Польшу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Китай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Молдову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США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Иран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Южную Корею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Сирию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Нидерланды и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BD4B7D">
        <w:rPr>
          <w:rStyle w:val="hps"/>
          <w:rFonts w:ascii="Times New Roman" w:hAnsi="Times New Roman" w:cs="Times New Roman"/>
          <w:sz w:val="24"/>
          <w:szCs w:val="24"/>
        </w:rPr>
        <w:t>др</w:t>
      </w:r>
      <w:r w:rsidRPr="00A21858">
        <w:rPr>
          <w:rFonts w:ascii="Times New Roman" w:hAnsi="Times New Roman" w:cs="Times New Roman"/>
          <w:sz w:val="24"/>
          <w:szCs w:val="24"/>
        </w:rPr>
        <w:t>.</w:t>
      </w:r>
    </w:p>
    <w:p w:rsidR="000F634B" w:rsidRPr="00A21858" w:rsidRDefault="000F634B" w:rsidP="000F63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34B" w:rsidRPr="00A21858" w:rsidRDefault="000F634B" w:rsidP="000F6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49C4" w:rsidRDefault="003549C4"/>
    <w:sectPr w:rsidR="003549C4" w:rsidSect="00932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61F95"/>
    <w:multiLevelType w:val="hybridMultilevel"/>
    <w:tmpl w:val="A73C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A52FD"/>
    <w:multiLevelType w:val="hybridMultilevel"/>
    <w:tmpl w:val="E2487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57842"/>
    <w:multiLevelType w:val="hybridMultilevel"/>
    <w:tmpl w:val="98E4E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A700FB"/>
    <w:multiLevelType w:val="hybridMultilevel"/>
    <w:tmpl w:val="ACC48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3643F0"/>
    <w:multiLevelType w:val="hybridMultilevel"/>
    <w:tmpl w:val="3B720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BB791A"/>
    <w:multiLevelType w:val="hybridMultilevel"/>
    <w:tmpl w:val="5CE42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E23CE2"/>
    <w:multiLevelType w:val="hybridMultilevel"/>
    <w:tmpl w:val="EE5E2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6B6C43"/>
    <w:multiLevelType w:val="hybridMultilevel"/>
    <w:tmpl w:val="3F5C0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6E7A7F"/>
    <w:multiLevelType w:val="hybridMultilevel"/>
    <w:tmpl w:val="2DAC9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CF7155"/>
    <w:multiLevelType w:val="hybridMultilevel"/>
    <w:tmpl w:val="2970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583EE0"/>
    <w:multiLevelType w:val="hybridMultilevel"/>
    <w:tmpl w:val="30D83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A7760B"/>
    <w:multiLevelType w:val="hybridMultilevel"/>
    <w:tmpl w:val="54A6E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9"/>
  </w:num>
  <w:num w:numId="5">
    <w:abstractNumId w:val="1"/>
  </w:num>
  <w:num w:numId="6">
    <w:abstractNumId w:val="0"/>
  </w:num>
  <w:num w:numId="7">
    <w:abstractNumId w:val="11"/>
  </w:num>
  <w:num w:numId="8">
    <w:abstractNumId w:val="3"/>
  </w:num>
  <w:num w:numId="9">
    <w:abstractNumId w:val="7"/>
  </w:num>
  <w:num w:numId="10">
    <w:abstractNumId w:val="4"/>
  </w:num>
  <w:num w:numId="11">
    <w:abstractNumId w:val="2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F634B"/>
    <w:rsid w:val="000F634B"/>
    <w:rsid w:val="0030576A"/>
    <w:rsid w:val="003549C4"/>
    <w:rsid w:val="005A732F"/>
    <w:rsid w:val="00664C11"/>
    <w:rsid w:val="00B524ED"/>
    <w:rsid w:val="00BD4B7D"/>
    <w:rsid w:val="00E76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34B"/>
    <w:pPr>
      <w:ind w:left="720"/>
      <w:contextualSpacing/>
    </w:pPr>
  </w:style>
  <w:style w:type="character" w:customStyle="1" w:styleId="hps">
    <w:name w:val="hps"/>
    <w:basedOn w:val="a0"/>
    <w:rsid w:val="000F634B"/>
  </w:style>
  <w:style w:type="character" w:customStyle="1" w:styleId="atn">
    <w:name w:val="atn"/>
    <w:basedOn w:val="a0"/>
    <w:rsid w:val="000F63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1950</Words>
  <Characters>11120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Koziavki</dc:creator>
  <cp:keywords/>
  <dc:description/>
  <cp:lastModifiedBy>Koziavki</cp:lastModifiedBy>
  <cp:revision>3</cp:revision>
  <dcterms:created xsi:type="dcterms:W3CDTF">2012-04-20T07:29:00Z</dcterms:created>
  <dcterms:modified xsi:type="dcterms:W3CDTF">2012-04-20T08:53:00Z</dcterms:modified>
</cp:coreProperties>
</file>